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27D" w:rsidRDefault="0005127D" w:rsidP="00913D5B">
      <w:pPr>
        <w:spacing w:before="120" w:line="360" w:lineRule="auto"/>
        <w:jc w:val="center"/>
        <w:rPr>
          <w:rFonts w:ascii="Arial Narrow" w:hAnsi="Arial Narrow"/>
          <w:b/>
          <w:smallCaps/>
          <w:sz w:val="28"/>
          <w:szCs w:val="28"/>
        </w:rPr>
      </w:pPr>
    </w:p>
    <w:p w:rsidR="0005127D" w:rsidRPr="00903FD6" w:rsidRDefault="0005127D" w:rsidP="00913D5B">
      <w:pPr>
        <w:spacing w:before="120" w:line="360" w:lineRule="auto"/>
        <w:jc w:val="center"/>
        <w:rPr>
          <w:rFonts w:ascii="Arial Narrow" w:hAnsi="Arial Narrow"/>
          <w:b/>
          <w:caps/>
          <w:sz w:val="32"/>
          <w:szCs w:val="28"/>
        </w:rPr>
      </w:pPr>
      <w:r w:rsidRPr="00903FD6">
        <w:rPr>
          <w:rFonts w:ascii="Arial Narrow" w:hAnsi="Arial Narrow"/>
          <w:b/>
          <w:caps/>
          <w:sz w:val="32"/>
          <w:szCs w:val="28"/>
        </w:rPr>
        <w:t>Cooperação Judiciária Internacional em Matéria Penal</w:t>
      </w:r>
    </w:p>
    <w:p w:rsidR="0005127D" w:rsidRDefault="0005127D" w:rsidP="00913D5B">
      <w:pPr>
        <w:spacing w:before="120" w:line="360" w:lineRule="auto"/>
        <w:jc w:val="center"/>
        <w:rPr>
          <w:rFonts w:ascii="Arial Narrow" w:hAnsi="Arial Narrow"/>
          <w:b/>
          <w:smallCaps/>
          <w:sz w:val="28"/>
          <w:szCs w:val="28"/>
        </w:rPr>
      </w:pPr>
      <w:r>
        <w:rPr>
          <w:rFonts w:ascii="Arial Narrow" w:hAnsi="Arial Narrow"/>
          <w:b/>
          <w:smallCaps/>
          <w:sz w:val="28"/>
          <w:szCs w:val="28"/>
        </w:rPr>
        <w:t>*</w:t>
      </w:r>
    </w:p>
    <w:p w:rsidR="0005127D" w:rsidRDefault="0005127D" w:rsidP="00913D5B">
      <w:pPr>
        <w:spacing w:before="120" w:line="360" w:lineRule="auto"/>
        <w:jc w:val="center"/>
        <w:rPr>
          <w:rFonts w:ascii="Arial Narrow" w:hAnsi="Arial Narrow"/>
          <w:b/>
          <w:smallCaps/>
          <w:sz w:val="28"/>
          <w:szCs w:val="28"/>
        </w:rPr>
      </w:pPr>
      <w:r>
        <w:rPr>
          <w:rFonts w:ascii="Arial Narrow" w:hAnsi="Arial Narrow"/>
          <w:b/>
          <w:smallCaps/>
          <w:sz w:val="28"/>
          <w:szCs w:val="28"/>
        </w:rPr>
        <w:t>Orientações e Notas de Procedimento do Ministério Público</w:t>
      </w:r>
    </w:p>
    <w:p w:rsidR="0005127D" w:rsidRDefault="0005127D" w:rsidP="00913D5B">
      <w:pPr>
        <w:spacing w:before="120" w:line="360" w:lineRule="auto"/>
        <w:jc w:val="center"/>
        <w:rPr>
          <w:rFonts w:ascii="Arial Narrow" w:hAnsi="Arial Narrow"/>
          <w:b/>
          <w:smallCaps/>
          <w:sz w:val="28"/>
          <w:szCs w:val="28"/>
        </w:rPr>
      </w:pPr>
      <w:r>
        <w:rPr>
          <w:rFonts w:ascii="Arial Narrow" w:hAnsi="Arial Narrow"/>
          <w:b/>
          <w:smallCaps/>
          <w:sz w:val="28"/>
          <w:szCs w:val="28"/>
        </w:rPr>
        <w:t>no Tribunal da Relação</w:t>
      </w:r>
      <w:r w:rsidRPr="00E96D66">
        <w:rPr>
          <w:rStyle w:val="Refdenotaderodap"/>
          <w:rFonts w:ascii="Arial Narrow" w:hAnsi="Arial Narrow"/>
          <w:b/>
          <w:smallCaps/>
          <w:sz w:val="28"/>
          <w:szCs w:val="28"/>
        </w:rPr>
        <w:footnoteReference w:customMarkFollows="1" w:id="1"/>
        <w:sym w:font="Symbol" w:char="F02A"/>
      </w:r>
    </w:p>
    <w:p w:rsidR="0005127D" w:rsidRPr="004C0076" w:rsidRDefault="0005127D" w:rsidP="00913D5B">
      <w:pPr>
        <w:spacing w:before="120" w:line="360" w:lineRule="auto"/>
        <w:jc w:val="center"/>
        <w:rPr>
          <w:rFonts w:ascii="Arial Narrow" w:hAnsi="Arial Narrow"/>
          <w:b/>
          <w:smallCaps/>
          <w:sz w:val="28"/>
          <w:szCs w:val="28"/>
        </w:rPr>
      </w:pPr>
    </w:p>
    <w:p w:rsidR="0005127D" w:rsidRDefault="0005127D" w:rsidP="00D733E9">
      <w:pPr>
        <w:spacing w:before="120" w:line="360" w:lineRule="auto"/>
        <w:jc w:val="right"/>
        <w:rPr>
          <w:rFonts w:ascii="Arial Narrow" w:hAnsi="Arial Narrow"/>
          <w:u w:val="single"/>
        </w:rPr>
      </w:pPr>
      <w:r>
        <w:rPr>
          <w:rFonts w:ascii="Arial Narrow" w:hAnsi="Arial Narrow"/>
          <w:u w:val="single"/>
        </w:rPr>
        <w:t>Ref:</w:t>
      </w:r>
      <w:r w:rsidRPr="00D733E9">
        <w:rPr>
          <w:rFonts w:ascii="Arial Narrow" w:hAnsi="Arial Narrow"/>
          <w:u w:val="single"/>
        </w:rPr>
        <w:t xml:space="preserve"> CJIMP/TRL v. </w:t>
      </w:r>
      <w:r>
        <w:rPr>
          <w:rFonts w:ascii="Arial Narrow" w:hAnsi="Arial Narrow"/>
          <w:u w:val="single"/>
        </w:rPr>
        <w:t>02</w:t>
      </w:r>
      <w:r w:rsidRPr="00D733E9">
        <w:rPr>
          <w:rFonts w:ascii="Arial Narrow" w:hAnsi="Arial Narrow"/>
          <w:u w:val="single"/>
        </w:rPr>
        <w:t xml:space="preserve">, </w:t>
      </w:r>
      <w:r>
        <w:rPr>
          <w:rFonts w:ascii="Arial Narrow" w:hAnsi="Arial Narrow"/>
          <w:u w:val="single"/>
        </w:rPr>
        <w:t>Janeiro</w:t>
      </w:r>
      <w:r w:rsidRPr="00D733E9">
        <w:rPr>
          <w:rFonts w:ascii="Arial Narrow" w:hAnsi="Arial Narrow"/>
          <w:u w:val="single"/>
        </w:rPr>
        <w:t xml:space="preserve"> de 201</w:t>
      </w:r>
      <w:r>
        <w:rPr>
          <w:rFonts w:ascii="Arial Narrow" w:hAnsi="Arial Narrow"/>
          <w:u w:val="single"/>
        </w:rPr>
        <w:t>4</w:t>
      </w:r>
    </w:p>
    <w:p w:rsidR="0005127D" w:rsidRDefault="0005127D" w:rsidP="00D733E9">
      <w:pPr>
        <w:spacing w:before="120" w:line="360" w:lineRule="auto"/>
        <w:jc w:val="right"/>
        <w:rPr>
          <w:rFonts w:ascii="Arial Narrow" w:hAnsi="Arial Narrow"/>
          <w:u w:val="single"/>
        </w:rPr>
      </w:pPr>
    </w:p>
    <w:p w:rsidR="0005127D" w:rsidRPr="005A4431" w:rsidRDefault="0005127D" w:rsidP="00F96A3F">
      <w:pPr>
        <w:spacing w:before="120" w:line="360" w:lineRule="auto"/>
        <w:jc w:val="center"/>
        <w:rPr>
          <w:rFonts w:ascii="Arial Narrow" w:hAnsi="Arial Narrow"/>
          <w:b/>
          <w:sz w:val="22"/>
          <w:u w:val="single"/>
        </w:rPr>
      </w:pPr>
      <w:r w:rsidRPr="005A4431">
        <w:rPr>
          <w:rFonts w:ascii="Arial Narrow" w:hAnsi="Arial Narrow"/>
          <w:b/>
          <w:sz w:val="22"/>
          <w:u w:val="single"/>
        </w:rPr>
        <w:t>SUMÁRIO</w:t>
      </w:r>
    </w:p>
    <w:p w:rsidR="0005127D" w:rsidRPr="005A4431" w:rsidRDefault="0005127D" w:rsidP="00D733E9">
      <w:pPr>
        <w:spacing w:before="120" w:line="360" w:lineRule="auto"/>
        <w:jc w:val="right"/>
        <w:rPr>
          <w:rFonts w:ascii="Arial Narrow" w:hAnsi="Arial Narrow"/>
          <w:sz w:val="22"/>
          <w:u w:val="single"/>
        </w:rPr>
      </w:pPr>
    </w:p>
    <w:p w:rsidR="0005127D" w:rsidRPr="005A4431" w:rsidRDefault="0005127D" w:rsidP="00F96A3F">
      <w:pPr>
        <w:tabs>
          <w:tab w:val="left" w:pos="426"/>
        </w:tabs>
        <w:spacing w:before="120"/>
        <w:ind w:left="284" w:hanging="284"/>
        <w:jc w:val="both"/>
        <w:rPr>
          <w:rFonts w:ascii="Arial Narrow" w:hAnsi="Arial Narrow"/>
          <w:b/>
          <w:caps/>
          <w:sz w:val="22"/>
        </w:rPr>
      </w:pPr>
      <w:r w:rsidRPr="005A4431">
        <w:rPr>
          <w:rFonts w:ascii="Arial Narrow" w:hAnsi="Arial Narrow"/>
          <w:b/>
          <w:caps/>
          <w:sz w:val="22"/>
        </w:rPr>
        <w:t>A. EXECUÇÃO DO Mandado de Detenção Europeu</w:t>
      </w:r>
    </w:p>
    <w:p w:rsidR="0005127D" w:rsidRPr="005A4431" w:rsidRDefault="0005127D" w:rsidP="00C05373">
      <w:pPr>
        <w:numPr>
          <w:ilvl w:val="0"/>
          <w:numId w:val="12"/>
        </w:numPr>
        <w:tabs>
          <w:tab w:val="left" w:pos="426"/>
        </w:tabs>
        <w:spacing w:before="360"/>
        <w:ind w:left="425" w:hanging="425"/>
        <w:jc w:val="both"/>
        <w:rPr>
          <w:rFonts w:ascii="Arial Narrow" w:hAnsi="Arial Narrow"/>
          <w:i/>
          <w:sz w:val="22"/>
        </w:rPr>
      </w:pPr>
      <w:r w:rsidRPr="005A4431">
        <w:rPr>
          <w:rFonts w:ascii="Arial Narrow" w:hAnsi="Arial Narrow"/>
          <w:i/>
          <w:sz w:val="22"/>
        </w:rPr>
        <w:t>Detenção, comunicação da detenção, controlo pelo MP e procedimentos subsequentes – artigo 18.º, n.ºs 1, 2 e 3 da  Lei n.º 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A promoção da execução (diligências prévias; forma e conteúdo da promoção) – artigo 16.º, n.ºs 1</w:t>
      </w:r>
      <w:r w:rsidRPr="005A4431">
        <w:rPr>
          <w:rFonts w:ascii="Arial Narrow" w:hAnsi="Arial Narrow"/>
          <w:i/>
          <w:sz w:val="22"/>
          <w:vertAlign w:val="superscript"/>
        </w:rPr>
        <w:t>-</w:t>
      </w:r>
      <w:r w:rsidRPr="005A4431">
        <w:rPr>
          <w:rFonts w:ascii="Arial Narrow" w:hAnsi="Arial Narrow"/>
          <w:i/>
          <w:sz w:val="22"/>
        </w:rPr>
        <w:t>4, da Lei n.º 65/2003</w:t>
      </w:r>
    </w:p>
    <w:p w:rsidR="0005127D" w:rsidRPr="005A4431" w:rsidRDefault="0005127D" w:rsidP="00F96A3F">
      <w:pPr>
        <w:numPr>
          <w:ilvl w:val="0"/>
          <w:numId w:val="12"/>
        </w:numPr>
        <w:tabs>
          <w:tab w:val="left" w:pos="426"/>
        </w:tabs>
        <w:spacing w:before="120"/>
        <w:ind w:left="426" w:hanging="426"/>
        <w:jc w:val="both"/>
        <w:rPr>
          <w:rFonts w:ascii="Arial Narrow" w:hAnsi="Arial Narrow"/>
          <w:sz w:val="22"/>
        </w:rPr>
      </w:pPr>
      <w:r w:rsidRPr="005A4431">
        <w:rPr>
          <w:rFonts w:ascii="Arial Narrow" w:hAnsi="Arial Narrow"/>
          <w:i/>
          <w:sz w:val="22"/>
        </w:rPr>
        <w:t>Controlo de execução; o despacho liminar de verificação da forma e conteúdo do MDE – artigo 16.º, n.º 2, da Lei</w:t>
      </w:r>
      <w:r>
        <w:rPr>
          <w:rFonts w:ascii="Arial Narrow" w:hAnsi="Arial Narrow"/>
          <w:i/>
          <w:sz w:val="22"/>
        </w:rPr>
        <w:t xml:space="preserve"> n.º</w:t>
      </w:r>
      <w:r w:rsidRPr="005A4431">
        <w:rPr>
          <w:rFonts w:ascii="Arial Narrow" w:hAnsi="Arial Narrow"/>
          <w:i/>
          <w:sz w:val="22"/>
        </w:rPr>
        <w:t xml:space="preserve"> 65/2003 </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 xml:space="preserve">Pressupostos da validação da detenção; sua relação com a regularidade formal e substancial do MDE enquanto decisão judiciária – artigo 1.º, n.º 1, e 18.º, n.º 3, da Lei </w:t>
      </w:r>
      <w:r>
        <w:rPr>
          <w:rFonts w:ascii="Arial Narrow" w:hAnsi="Arial Narrow"/>
          <w:i/>
          <w:sz w:val="22"/>
        </w:rPr>
        <w:t xml:space="preserve">n.º </w:t>
      </w:r>
      <w:r w:rsidRPr="005A4431">
        <w:rPr>
          <w:rFonts w:ascii="Arial Narrow" w:hAnsi="Arial Narrow"/>
          <w:i/>
          <w:sz w:val="22"/>
        </w:rPr>
        <w:t>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Manutenção da detenção; sua relação com o princípio do reconhecimento mútuo – artigos 1.º, n.º 2, 18.º, n.º 3</w:t>
      </w:r>
      <w:r>
        <w:rPr>
          <w:rFonts w:ascii="Arial Narrow" w:hAnsi="Arial Narrow"/>
          <w:i/>
          <w:sz w:val="22"/>
        </w:rPr>
        <w:t>,</w:t>
      </w:r>
      <w:r w:rsidRPr="005A4431">
        <w:rPr>
          <w:rFonts w:ascii="Arial Narrow" w:hAnsi="Arial Narrow"/>
          <w:i/>
          <w:sz w:val="22"/>
        </w:rPr>
        <w:t xml:space="preserve"> e 26.º, n.º 4, da Lei </w:t>
      </w:r>
      <w:r>
        <w:rPr>
          <w:rFonts w:ascii="Arial Narrow" w:hAnsi="Arial Narrow"/>
          <w:i/>
          <w:sz w:val="22"/>
        </w:rPr>
        <w:t xml:space="preserve">n.º </w:t>
      </w:r>
      <w:r w:rsidRPr="005A4431">
        <w:rPr>
          <w:rFonts w:ascii="Arial Narrow" w:hAnsi="Arial Narrow"/>
          <w:i/>
          <w:sz w:val="22"/>
        </w:rPr>
        <w:t>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A possibilidade de aplicação da medida de coacção, em substituição da detenção  – artigo</w:t>
      </w:r>
      <w:r>
        <w:rPr>
          <w:rFonts w:ascii="Arial Narrow" w:hAnsi="Arial Narrow"/>
          <w:i/>
          <w:sz w:val="22"/>
        </w:rPr>
        <w:t>s</w:t>
      </w:r>
      <w:r w:rsidRPr="005A4431">
        <w:rPr>
          <w:rFonts w:ascii="Arial Narrow" w:hAnsi="Arial Narrow"/>
          <w:i/>
          <w:sz w:val="22"/>
        </w:rPr>
        <w:t xml:space="preserve"> 18</w:t>
      </w:r>
      <w:r>
        <w:rPr>
          <w:rFonts w:ascii="Arial Narrow" w:hAnsi="Arial Narrow"/>
          <w:i/>
          <w:sz w:val="22"/>
        </w:rPr>
        <w:t xml:space="preserve">.º, n.º </w:t>
      </w:r>
      <w:r w:rsidRPr="005A4431">
        <w:rPr>
          <w:rFonts w:ascii="Arial Narrow" w:hAnsi="Arial Narrow"/>
          <w:i/>
          <w:sz w:val="22"/>
        </w:rPr>
        <w:t>3</w:t>
      </w:r>
      <w:r>
        <w:rPr>
          <w:rFonts w:ascii="Arial Narrow" w:hAnsi="Arial Narrow"/>
          <w:i/>
          <w:sz w:val="22"/>
        </w:rPr>
        <w:t>,</w:t>
      </w:r>
      <w:r w:rsidRPr="005A4431">
        <w:rPr>
          <w:rFonts w:ascii="Arial Narrow" w:hAnsi="Arial Narrow"/>
          <w:i/>
          <w:sz w:val="22"/>
        </w:rPr>
        <w:t xml:space="preserve"> e 24</w:t>
      </w:r>
      <w:r>
        <w:rPr>
          <w:rFonts w:ascii="Arial Narrow" w:hAnsi="Arial Narrow"/>
          <w:i/>
          <w:sz w:val="22"/>
        </w:rPr>
        <w:t>.º, n.º 1, al. a), da Lei n.º 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 xml:space="preserve">Princípio da especialidade; “alargamento” do MDE a novos crimes; interpretação do artigo 7.º, n.º 4, da Lei </w:t>
      </w:r>
      <w:r>
        <w:rPr>
          <w:rFonts w:ascii="Arial Narrow" w:hAnsi="Arial Narrow"/>
          <w:i/>
          <w:sz w:val="22"/>
        </w:rPr>
        <w:t xml:space="preserve">n.º </w:t>
      </w:r>
      <w:r w:rsidRPr="005A4431">
        <w:rPr>
          <w:rFonts w:ascii="Arial Narrow" w:hAnsi="Arial Narrow"/>
          <w:i/>
          <w:sz w:val="22"/>
        </w:rPr>
        <w:t>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lastRenderedPageBreak/>
        <w:t>Motivos de não execução com base em procedimento pendente ou condenação pelos mesmos factos; prestação e obtenção de informações; entrega condicional e diferida; transferência temporária – artigo 6.º, 11.º, al. b), 12.º, n.º 1, al. b), c), d), f) e h)</w:t>
      </w:r>
      <w:r>
        <w:rPr>
          <w:rFonts w:ascii="Arial Narrow" w:hAnsi="Arial Narrow"/>
          <w:i/>
          <w:sz w:val="22"/>
        </w:rPr>
        <w:t>,</w:t>
      </w:r>
      <w:r w:rsidRPr="005A4431">
        <w:rPr>
          <w:rFonts w:ascii="Arial Narrow" w:hAnsi="Arial Narrow"/>
          <w:i/>
          <w:sz w:val="22"/>
        </w:rPr>
        <w:t xml:space="preserve">  e 31.º da Lei </w:t>
      </w:r>
      <w:r>
        <w:rPr>
          <w:rFonts w:ascii="Arial Narrow" w:hAnsi="Arial Narrow"/>
          <w:i/>
          <w:sz w:val="22"/>
        </w:rPr>
        <w:t xml:space="preserve">n.º </w:t>
      </w:r>
      <w:r w:rsidRPr="005A4431">
        <w:rPr>
          <w:rFonts w:ascii="Arial Narrow" w:hAnsi="Arial Narrow"/>
          <w:i/>
          <w:sz w:val="22"/>
        </w:rPr>
        <w:t>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Motivo de recusa de execução com base na residência – artigo 12.º, n.º 1, al. g) da Lei</w:t>
      </w:r>
      <w:r>
        <w:rPr>
          <w:rFonts w:ascii="Arial Narrow" w:hAnsi="Arial Narrow"/>
          <w:i/>
          <w:sz w:val="22"/>
        </w:rPr>
        <w:t xml:space="preserve"> n.º</w:t>
      </w:r>
      <w:r w:rsidRPr="005A4431">
        <w:rPr>
          <w:rFonts w:ascii="Arial Narrow" w:hAnsi="Arial Narrow"/>
          <w:i/>
          <w:sz w:val="22"/>
        </w:rPr>
        <w:t xml:space="preserve"> 65/2003</w:t>
      </w:r>
    </w:p>
    <w:p w:rsidR="0005127D" w:rsidRPr="005A4431" w:rsidRDefault="0005127D" w:rsidP="00F96A3F">
      <w:pPr>
        <w:numPr>
          <w:ilvl w:val="0"/>
          <w:numId w:val="12"/>
        </w:numPr>
        <w:tabs>
          <w:tab w:val="left" w:pos="426"/>
          <w:tab w:val="left" w:pos="567"/>
        </w:tabs>
        <w:spacing w:before="120"/>
        <w:ind w:left="426" w:hanging="426"/>
        <w:jc w:val="both"/>
        <w:rPr>
          <w:rFonts w:ascii="Arial Narrow" w:hAnsi="Arial Narrow"/>
          <w:i/>
          <w:sz w:val="22"/>
        </w:rPr>
      </w:pPr>
      <w:r w:rsidRPr="005A4431">
        <w:rPr>
          <w:rFonts w:ascii="Arial Narrow" w:hAnsi="Arial Narrow"/>
          <w:i/>
          <w:sz w:val="22"/>
        </w:rPr>
        <w:t xml:space="preserve">Garantia em caso de não conhecimento da data e ausência em julgamento – artigo 13.º, al. a), da Lei </w:t>
      </w:r>
      <w:r>
        <w:rPr>
          <w:rFonts w:ascii="Arial Narrow" w:hAnsi="Arial Narrow"/>
          <w:i/>
          <w:sz w:val="22"/>
        </w:rPr>
        <w:t xml:space="preserve">n.º </w:t>
      </w:r>
      <w:r w:rsidRPr="005A4431">
        <w:rPr>
          <w:rFonts w:ascii="Arial Narrow" w:hAnsi="Arial Narrow"/>
          <w:i/>
          <w:sz w:val="22"/>
        </w:rPr>
        <w:t>65/2003 e artigo 2.º da D</w:t>
      </w:r>
      <w:r>
        <w:rPr>
          <w:rFonts w:ascii="Arial Narrow" w:hAnsi="Arial Narrow"/>
          <w:i/>
          <w:sz w:val="22"/>
        </w:rPr>
        <w:t xml:space="preserve">ecisão-Quadro </w:t>
      </w:r>
      <w:r w:rsidRPr="005A4431">
        <w:rPr>
          <w:rFonts w:ascii="Arial Narrow" w:hAnsi="Arial Narrow"/>
          <w:i/>
          <w:sz w:val="22"/>
        </w:rPr>
        <w:t>2009/299/JAI, de 26.2.2009, que altera a D</w:t>
      </w:r>
      <w:r>
        <w:rPr>
          <w:rFonts w:ascii="Arial Narrow" w:hAnsi="Arial Narrow"/>
          <w:i/>
          <w:sz w:val="22"/>
        </w:rPr>
        <w:t>ecisão-Quadro relativa ao</w:t>
      </w:r>
      <w:r w:rsidRPr="005A4431">
        <w:rPr>
          <w:rFonts w:ascii="Arial Narrow" w:hAnsi="Arial Narrow"/>
          <w:i/>
          <w:sz w:val="22"/>
        </w:rPr>
        <w:t xml:space="preserve"> MDE</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 xml:space="preserve">Garantia em caso de recusa com base na nacionalidade ou residência (cont. – artigo 12.º, n.º 1, al. g), da Lei </w:t>
      </w:r>
      <w:r>
        <w:rPr>
          <w:rFonts w:ascii="Arial Narrow" w:hAnsi="Arial Narrow"/>
          <w:i/>
          <w:sz w:val="22"/>
        </w:rPr>
        <w:t xml:space="preserve">n.º </w:t>
      </w:r>
      <w:r w:rsidRPr="005A4431">
        <w:rPr>
          <w:rFonts w:ascii="Arial Narrow" w:hAnsi="Arial Narrow"/>
          <w:i/>
          <w:sz w:val="22"/>
        </w:rPr>
        <w:t>65/2003 e artigo 25.º da Decisão-Quadro 2008/909/JAI, de 27.11.2008)</w:t>
      </w:r>
    </w:p>
    <w:p w:rsidR="0005127D" w:rsidRPr="005A4431" w:rsidRDefault="0005127D" w:rsidP="00F96A3F">
      <w:pPr>
        <w:numPr>
          <w:ilvl w:val="0"/>
          <w:numId w:val="12"/>
        </w:numPr>
        <w:tabs>
          <w:tab w:val="left" w:pos="426"/>
          <w:tab w:val="left" w:pos="567"/>
        </w:tabs>
        <w:spacing w:before="120"/>
        <w:ind w:left="426" w:hanging="426"/>
        <w:jc w:val="both"/>
        <w:rPr>
          <w:rFonts w:ascii="Arial Narrow" w:hAnsi="Arial Narrow"/>
          <w:i/>
          <w:sz w:val="22"/>
        </w:rPr>
      </w:pPr>
      <w:r w:rsidRPr="005A4431">
        <w:rPr>
          <w:rFonts w:ascii="Arial Narrow" w:hAnsi="Arial Narrow"/>
          <w:i/>
          <w:sz w:val="22"/>
        </w:rPr>
        <w:t>Causa de recusa de execução obrigatória – ne bis in idem – artigos 11.º</w:t>
      </w:r>
      <w:r>
        <w:rPr>
          <w:rFonts w:ascii="Arial Narrow" w:hAnsi="Arial Narrow"/>
          <w:i/>
          <w:sz w:val="22"/>
        </w:rPr>
        <w:t>,</w:t>
      </w:r>
      <w:r w:rsidRPr="005A4431">
        <w:rPr>
          <w:rFonts w:ascii="Arial Narrow" w:hAnsi="Arial Narrow"/>
          <w:i/>
          <w:sz w:val="22"/>
        </w:rPr>
        <w:t xml:space="preserve"> al. b), </w:t>
      </w:r>
      <w:r>
        <w:rPr>
          <w:rFonts w:ascii="Arial Narrow" w:hAnsi="Arial Narrow"/>
          <w:i/>
          <w:sz w:val="22"/>
        </w:rPr>
        <w:t xml:space="preserve">da </w:t>
      </w:r>
      <w:r w:rsidRPr="005A4431">
        <w:rPr>
          <w:rFonts w:ascii="Arial Narrow" w:hAnsi="Arial Narrow"/>
          <w:i/>
          <w:sz w:val="22"/>
        </w:rPr>
        <w:t xml:space="preserve">Lei </w:t>
      </w:r>
      <w:r>
        <w:rPr>
          <w:rFonts w:ascii="Arial Narrow" w:hAnsi="Arial Narrow"/>
          <w:i/>
          <w:sz w:val="22"/>
        </w:rPr>
        <w:t xml:space="preserve">n.º </w:t>
      </w:r>
      <w:r w:rsidRPr="005A4431">
        <w:rPr>
          <w:rFonts w:ascii="Arial Narrow" w:hAnsi="Arial Narrow"/>
          <w:i/>
          <w:sz w:val="22"/>
        </w:rPr>
        <w:t>65/2003 e 3.º, n.º 2, da Decisão-Quadro</w:t>
      </w:r>
      <w:r>
        <w:rPr>
          <w:rFonts w:ascii="Arial Narrow" w:hAnsi="Arial Narrow"/>
          <w:i/>
          <w:sz w:val="22"/>
        </w:rPr>
        <w:t xml:space="preserve"> relativa ao</w:t>
      </w:r>
      <w:r w:rsidRPr="005A4431">
        <w:rPr>
          <w:rFonts w:ascii="Arial Narrow" w:hAnsi="Arial Narrow"/>
          <w:i/>
          <w:sz w:val="22"/>
        </w:rPr>
        <w:t xml:space="preserve"> MDE</w:t>
      </w:r>
    </w:p>
    <w:p w:rsidR="0005127D" w:rsidRPr="005A4431" w:rsidRDefault="0005127D" w:rsidP="00F96A3F">
      <w:pPr>
        <w:numPr>
          <w:ilvl w:val="0"/>
          <w:numId w:val="12"/>
        </w:numPr>
        <w:tabs>
          <w:tab w:val="left" w:pos="426"/>
          <w:tab w:val="left" w:pos="567"/>
        </w:tabs>
        <w:spacing w:before="120"/>
        <w:ind w:left="426" w:hanging="426"/>
        <w:jc w:val="both"/>
        <w:rPr>
          <w:rFonts w:ascii="Arial Narrow" w:hAnsi="Arial Narrow"/>
          <w:i/>
          <w:sz w:val="22"/>
        </w:rPr>
      </w:pPr>
      <w:r w:rsidRPr="005A4431">
        <w:rPr>
          <w:rFonts w:ascii="Arial Narrow" w:hAnsi="Arial Narrow"/>
          <w:i/>
          <w:sz w:val="22"/>
        </w:rPr>
        <w:t xml:space="preserve">Cumprimento dos prazos de entrega; comunicação de atrasos à Eurojust – artigo 26.º, n.º 5, da Lei </w:t>
      </w:r>
      <w:r>
        <w:rPr>
          <w:rFonts w:ascii="Arial Narrow" w:hAnsi="Arial Narrow"/>
          <w:i/>
          <w:sz w:val="22"/>
        </w:rPr>
        <w:t xml:space="preserve">n.º </w:t>
      </w:r>
      <w:r w:rsidRPr="005A4431">
        <w:rPr>
          <w:rFonts w:ascii="Arial Narrow" w:hAnsi="Arial Narrow"/>
          <w:i/>
          <w:sz w:val="22"/>
        </w:rPr>
        <w:t>65/2003</w:t>
      </w:r>
    </w:p>
    <w:p w:rsidR="0005127D" w:rsidRPr="005A4431" w:rsidRDefault="0005127D" w:rsidP="00F96A3F">
      <w:pPr>
        <w:numPr>
          <w:ilvl w:val="0"/>
          <w:numId w:val="12"/>
        </w:numPr>
        <w:tabs>
          <w:tab w:val="left" w:pos="426"/>
        </w:tabs>
        <w:spacing w:before="120"/>
        <w:ind w:left="426" w:hanging="426"/>
        <w:jc w:val="both"/>
        <w:rPr>
          <w:rFonts w:ascii="Arial Narrow" w:hAnsi="Arial Narrow"/>
          <w:i/>
          <w:sz w:val="22"/>
        </w:rPr>
      </w:pPr>
      <w:r w:rsidRPr="005A4431">
        <w:rPr>
          <w:rFonts w:ascii="Arial Narrow" w:hAnsi="Arial Narrow"/>
          <w:i/>
          <w:sz w:val="22"/>
        </w:rPr>
        <w:t>Prazos de decisão e de entrega; libertação do detido – artigos 26.º, 29.º e 30.º da Lei</w:t>
      </w:r>
      <w:r>
        <w:rPr>
          <w:rFonts w:ascii="Arial Narrow" w:hAnsi="Arial Narrow"/>
          <w:i/>
          <w:sz w:val="22"/>
        </w:rPr>
        <w:t xml:space="preserve"> n.º</w:t>
      </w:r>
      <w:r w:rsidRPr="005A4431">
        <w:rPr>
          <w:rFonts w:ascii="Arial Narrow" w:hAnsi="Arial Narrow"/>
          <w:i/>
          <w:sz w:val="22"/>
        </w:rPr>
        <w:t xml:space="preserve"> 65/2003 e 17.º e 23.º da Decisão relativa à Eurojust</w:t>
      </w:r>
    </w:p>
    <w:p w:rsidR="0005127D" w:rsidRPr="005A4431" w:rsidRDefault="0005127D" w:rsidP="00C05373">
      <w:pPr>
        <w:tabs>
          <w:tab w:val="left" w:pos="426"/>
        </w:tabs>
        <w:spacing w:before="480"/>
        <w:ind w:left="425" w:hanging="425"/>
        <w:jc w:val="both"/>
        <w:rPr>
          <w:rFonts w:ascii="Arial Narrow" w:hAnsi="Arial Narrow"/>
          <w:b/>
          <w:caps/>
          <w:sz w:val="22"/>
        </w:rPr>
      </w:pPr>
      <w:r w:rsidRPr="005A4431">
        <w:rPr>
          <w:rFonts w:ascii="Arial Narrow" w:hAnsi="Arial Narrow"/>
          <w:b/>
          <w:caps/>
          <w:sz w:val="22"/>
        </w:rPr>
        <w:t>B. Transferência de condenado e revisão de sentença estrangeira</w:t>
      </w:r>
    </w:p>
    <w:p w:rsidR="0005127D" w:rsidRPr="005A4431" w:rsidRDefault="0005127D" w:rsidP="00E8016E">
      <w:pPr>
        <w:numPr>
          <w:ilvl w:val="0"/>
          <w:numId w:val="13"/>
        </w:numPr>
        <w:tabs>
          <w:tab w:val="left" w:pos="426"/>
        </w:tabs>
        <w:spacing w:before="360"/>
        <w:ind w:left="425" w:hanging="425"/>
        <w:jc w:val="both"/>
        <w:rPr>
          <w:rFonts w:ascii="Arial Narrow" w:hAnsi="Arial Narrow"/>
          <w:i/>
          <w:sz w:val="22"/>
        </w:rPr>
      </w:pPr>
      <w:r w:rsidRPr="005A4431">
        <w:rPr>
          <w:rFonts w:ascii="Arial Narrow" w:hAnsi="Arial Narrow"/>
          <w:i/>
          <w:sz w:val="22"/>
        </w:rPr>
        <w:t xml:space="preserve">Expediente vindo da PGR; aceitação do pedido; despacho de admissibilidade (MJ) – artigo 120.º, n .º 1, da Lei </w:t>
      </w:r>
      <w:r>
        <w:rPr>
          <w:rFonts w:ascii="Arial Narrow" w:hAnsi="Arial Narrow"/>
          <w:i/>
          <w:sz w:val="22"/>
        </w:rPr>
        <w:t xml:space="preserve">n.º </w:t>
      </w:r>
      <w:r w:rsidRPr="005A4431">
        <w:rPr>
          <w:rFonts w:ascii="Arial Narrow" w:hAnsi="Arial Narrow"/>
          <w:i/>
          <w:sz w:val="22"/>
        </w:rPr>
        <w:t xml:space="preserve">144/99; delegação de competência na PGR (despacho </w:t>
      </w:r>
      <w:r>
        <w:rPr>
          <w:rFonts w:ascii="Arial Narrow" w:hAnsi="Arial Narrow"/>
          <w:i/>
          <w:sz w:val="22"/>
        </w:rPr>
        <w:t xml:space="preserve">da Ministra da Justiça n.º </w:t>
      </w:r>
      <w:r w:rsidRPr="005A4431">
        <w:rPr>
          <w:rFonts w:ascii="Arial Narrow" w:hAnsi="Arial Narrow"/>
          <w:i/>
          <w:sz w:val="22"/>
        </w:rPr>
        <w:t>211/2013)</w:t>
      </w:r>
    </w:p>
    <w:p w:rsidR="0005127D" w:rsidRPr="005A4431" w:rsidRDefault="0005127D" w:rsidP="00E8016E">
      <w:pPr>
        <w:numPr>
          <w:ilvl w:val="0"/>
          <w:numId w:val="13"/>
        </w:numPr>
        <w:tabs>
          <w:tab w:val="left" w:pos="426"/>
        </w:tabs>
        <w:spacing w:before="120"/>
        <w:ind w:left="426" w:hanging="426"/>
        <w:jc w:val="both"/>
        <w:rPr>
          <w:rFonts w:ascii="Arial Narrow" w:hAnsi="Arial Narrow"/>
          <w:i/>
          <w:sz w:val="22"/>
        </w:rPr>
      </w:pPr>
      <w:r w:rsidRPr="005A4431">
        <w:rPr>
          <w:rFonts w:ascii="Arial Narrow" w:hAnsi="Arial Narrow"/>
          <w:i/>
          <w:sz w:val="22"/>
        </w:rPr>
        <w:t xml:space="preserve">Promoção do MP; forma e conteúdo; referência às convenções – artigos 3.º e 120.º, n.º 2, da Lei </w:t>
      </w:r>
      <w:r>
        <w:rPr>
          <w:rFonts w:ascii="Arial Narrow" w:hAnsi="Arial Narrow"/>
          <w:i/>
          <w:sz w:val="22"/>
        </w:rPr>
        <w:t xml:space="preserve">n.º </w:t>
      </w:r>
      <w:r w:rsidRPr="005A4431">
        <w:rPr>
          <w:rFonts w:ascii="Arial Narrow" w:hAnsi="Arial Narrow"/>
          <w:i/>
          <w:sz w:val="22"/>
        </w:rPr>
        <w:t>144/99</w:t>
      </w:r>
    </w:p>
    <w:p w:rsidR="0005127D" w:rsidRPr="005A4431" w:rsidRDefault="0005127D" w:rsidP="00E8016E">
      <w:pPr>
        <w:numPr>
          <w:ilvl w:val="0"/>
          <w:numId w:val="13"/>
        </w:numPr>
        <w:tabs>
          <w:tab w:val="left" w:pos="426"/>
        </w:tabs>
        <w:spacing w:before="120"/>
        <w:ind w:left="426" w:hanging="426"/>
        <w:jc w:val="both"/>
        <w:rPr>
          <w:rFonts w:ascii="Arial Narrow" w:hAnsi="Arial Narrow"/>
          <w:i/>
          <w:sz w:val="22"/>
        </w:rPr>
      </w:pPr>
      <w:r w:rsidRPr="005A4431">
        <w:rPr>
          <w:rFonts w:ascii="Arial Narrow" w:hAnsi="Arial Narrow"/>
          <w:i/>
          <w:sz w:val="22"/>
        </w:rPr>
        <w:t xml:space="preserve">Verificação por agente consular – artigos 120.º, n.º 4, da Lei </w:t>
      </w:r>
      <w:r>
        <w:rPr>
          <w:rFonts w:ascii="Arial Narrow" w:hAnsi="Arial Narrow"/>
          <w:i/>
          <w:sz w:val="22"/>
        </w:rPr>
        <w:t xml:space="preserve">n.º </w:t>
      </w:r>
      <w:r w:rsidRPr="005A4431">
        <w:rPr>
          <w:rFonts w:ascii="Arial Narrow" w:hAnsi="Arial Narrow"/>
          <w:i/>
          <w:sz w:val="22"/>
        </w:rPr>
        <w:t>144/99, e 3.º, n.º 2, das Convenções CoE 1983 e CPLP</w:t>
      </w:r>
    </w:p>
    <w:p w:rsidR="0005127D" w:rsidRPr="005A4431" w:rsidRDefault="0005127D" w:rsidP="00E8016E">
      <w:pPr>
        <w:numPr>
          <w:ilvl w:val="0"/>
          <w:numId w:val="13"/>
        </w:numPr>
        <w:tabs>
          <w:tab w:val="left" w:pos="426"/>
        </w:tabs>
        <w:spacing w:before="120"/>
        <w:ind w:left="426" w:hanging="426"/>
        <w:jc w:val="both"/>
        <w:rPr>
          <w:rFonts w:ascii="Arial Narrow" w:hAnsi="Arial Narrow"/>
          <w:i/>
          <w:sz w:val="22"/>
        </w:rPr>
      </w:pPr>
      <w:r w:rsidRPr="005A4431">
        <w:rPr>
          <w:rFonts w:ascii="Arial Narrow" w:hAnsi="Arial Narrow"/>
          <w:i/>
          <w:sz w:val="22"/>
        </w:rPr>
        <w:t xml:space="preserve">Revisão e confirmação da sentença estrangeira; execução de sentença penal estrangeira; condições e requisitos; inobservância e poderes da Relação – artigos 96.º, 99.º, n.º 4, e 100.º da Lei </w:t>
      </w:r>
      <w:r>
        <w:rPr>
          <w:rFonts w:ascii="Arial Narrow" w:hAnsi="Arial Narrow"/>
          <w:i/>
          <w:sz w:val="22"/>
        </w:rPr>
        <w:t xml:space="preserve">n.º </w:t>
      </w:r>
      <w:r w:rsidRPr="005A4431">
        <w:rPr>
          <w:rFonts w:ascii="Arial Narrow" w:hAnsi="Arial Narrow"/>
          <w:i/>
          <w:sz w:val="22"/>
        </w:rPr>
        <w:t xml:space="preserve">144/99 e 9.º e 10.º da Convenção CoE 1983 </w:t>
      </w:r>
    </w:p>
    <w:p w:rsidR="0005127D" w:rsidRPr="005A4431" w:rsidRDefault="0005127D" w:rsidP="00F96A3F">
      <w:pPr>
        <w:spacing w:before="120"/>
        <w:ind w:left="426" w:hanging="426"/>
        <w:jc w:val="center"/>
        <w:rPr>
          <w:rFonts w:ascii="Arial Narrow" w:hAnsi="Arial Narrow"/>
          <w:caps/>
          <w:sz w:val="22"/>
        </w:rPr>
      </w:pPr>
      <w:r>
        <w:rPr>
          <w:rFonts w:ascii="Arial Narrow" w:hAnsi="Arial Narrow"/>
          <w:caps/>
          <w:sz w:val="22"/>
        </w:rPr>
        <w:br w:type="page"/>
      </w:r>
    </w:p>
    <w:p w:rsidR="0005127D" w:rsidRPr="00633245" w:rsidRDefault="0005127D" w:rsidP="00913D5B">
      <w:pPr>
        <w:spacing w:before="120"/>
        <w:jc w:val="center"/>
        <w:rPr>
          <w:rFonts w:ascii="Arial Narrow" w:hAnsi="Arial Narrow"/>
          <w:caps/>
        </w:rPr>
      </w:pPr>
    </w:p>
    <w:p w:rsidR="0005127D" w:rsidRPr="001F0EF4" w:rsidRDefault="0005127D" w:rsidP="00913D5B">
      <w:pPr>
        <w:spacing w:before="120"/>
        <w:jc w:val="both"/>
        <w:rPr>
          <w:rFonts w:ascii="Arial Narrow" w:hAnsi="Arial Narrow"/>
          <w:b/>
          <w:caps/>
          <w:sz w:val="26"/>
        </w:rPr>
      </w:pPr>
      <w:r w:rsidRPr="001F0EF4">
        <w:rPr>
          <w:rFonts w:ascii="Arial Narrow" w:hAnsi="Arial Narrow"/>
          <w:b/>
          <w:caps/>
          <w:sz w:val="26"/>
        </w:rPr>
        <w:t>A. EXECUÇÃO DO Mandado de Detenção Europeu (MDE)</w:t>
      </w:r>
    </w:p>
    <w:p w:rsidR="0005127D" w:rsidRPr="00C56557" w:rsidRDefault="0005127D" w:rsidP="00913D5B">
      <w:pPr>
        <w:spacing w:before="120"/>
        <w:jc w:val="both"/>
        <w:rPr>
          <w:rFonts w:ascii="Arial Narrow" w:hAnsi="Arial Narrow"/>
          <w:b/>
          <w:caps/>
        </w:rPr>
      </w:pPr>
    </w:p>
    <w:p w:rsidR="0005127D" w:rsidRPr="00633245" w:rsidRDefault="0005127D" w:rsidP="002A6ADF">
      <w:pPr>
        <w:numPr>
          <w:ilvl w:val="0"/>
          <w:numId w:val="29"/>
        </w:numPr>
        <w:spacing w:before="240"/>
        <w:jc w:val="both"/>
        <w:rPr>
          <w:rFonts w:ascii="Arial Narrow" w:hAnsi="Arial Narrow"/>
          <w:b/>
          <w:i/>
        </w:rPr>
      </w:pPr>
      <w:r w:rsidRPr="00633245">
        <w:rPr>
          <w:rFonts w:ascii="Arial Narrow" w:hAnsi="Arial Narrow"/>
          <w:b/>
          <w:i/>
        </w:rPr>
        <w:t xml:space="preserve">Detenção, comunicação da detenção, controlo pelo MP e procedimentos subsequentes – </w:t>
      </w:r>
      <w:r>
        <w:rPr>
          <w:rFonts w:ascii="Arial Narrow" w:hAnsi="Arial Narrow"/>
          <w:b/>
          <w:i/>
        </w:rPr>
        <w:t>artigo</w:t>
      </w:r>
      <w:r w:rsidRPr="00633245">
        <w:rPr>
          <w:rFonts w:ascii="Arial Narrow" w:hAnsi="Arial Narrow"/>
          <w:b/>
          <w:i/>
        </w:rPr>
        <w:t xml:space="preserve"> 18</w:t>
      </w:r>
      <w:r>
        <w:rPr>
          <w:rFonts w:ascii="Arial Narrow" w:hAnsi="Arial Narrow"/>
          <w:b/>
          <w:i/>
        </w:rPr>
        <w:t xml:space="preserve">.º, n.ºs </w:t>
      </w:r>
      <w:r w:rsidRPr="00633245">
        <w:rPr>
          <w:rFonts w:ascii="Arial Narrow" w:hAnsi="Arial Narrow"/>
          <w:b/>
          <w:i/>
        </w:rPr>
        <w:t>1</w:t>
      </w:r>
      <w:r>
        <w:rPr>
          <w:rFonts w:ascii="Arial Narrow" w:hAnsi="Arial Narrow"/>
          <w:b/>
          <w:i/>
        </w:rPr>
        <w:t xml:space="preserve">, </w:t>
      </w:r>
      <w:r w:rsidRPr="00633245">
        <w:rPr>
          <w:rFonts w:ascii="Arial Narrow" w:hAnsi="Arial Narrow"/>
          <w:b/>
          <w:i/>
        </w:rPr>
        <w:t>2</w:t>
      </w:r>
      <w:r>
        <w:rPr>
          <w:rFonts w:ascii="Arial Narrow" w:hAnsi="Arial Narrow"/>
          <w:b/>
          <w:i/>
        </w:rPr>
        <w:t xml:space="preserve"> e </w:t>
      </w:r>
      <w:r w:rsidRPr="00633245">
        <w:rPr>
          <w:rFonts w:ascii="Arial Narrow" w:hAnsi="Arial Narrow"/>
          <w:b/>
          <w:i/>
        </w:rPr>
        <w:t>3</w:t>
      </w:r>
      <w:r>
        <w:rPr>
          <w:rFonts w:ascii="Arial Narrow" w:hAnsi="Arial Narrow"/>
          <w:b/>
          <w:i/>
        </w:rPr>
        <w:t xml:space="preserve"> da </w:t>
      </w:r>
      <w:r w:rsidRPr="00633245">
        <w:rPr>
          <w:rFonts w:ascii="Arial Narrow" w:hAnsi="Arial Narrow"/>
          <w:b/>
          <w:i/>
        </w:rPr>
        <w:t xml:space="preserve"> L</w:t>
      </w:r>
      <w:r>
        <w:rPr>
          <w:rFonts w:ascii="Arial Narrow" w:hAnsi="Arial Narrow"/>
          <w:b/>
          <w:i/>
        </w:rPr>
        <w:t>ei n.º 65/2003</w:t>
      </w:r>
    </w:p>
    <w:p w:rsidR="0005127D" w:rsidRDefault="0005127D" w:rsidP="00BF723E">
      <w:pPr>
        <w:numPr>
          <w:ilvl w:val="1"/>
          <w:numId w:val="29"/>
        </w:numPr>
        <w:spacing w:before="360"/>
        <w:ind w:left="788" w:hanging="431"/>
        <w:jc w:val="both"/>
        <w:rPr>
          <w:rFonts w:ascii="Arial Narrow" w:hAnsi="Arial Narrow"/>
        </w:rPr>
      </w:pPr>
      <w:r w:rsidRPr="00BC4E39">
        <w:rPr>
          <w:rFonts w:ascii="Arial Narrow" w:hAnsi="Arial Narrow"/>
        </w:rPr>
        <w:t>Compete ao MP a primeira verificação da legalidade da detenção com base no MDE ou na inserção do MDE no SIS.</w:t>
      </w:r>
    </w:p>
    <w:p w:rsidR="0005127D" w:rsidRPr="00BC4E39" w:rsidRDefault="0005127D" w:rsidP="00BF723E">
      <w:pPr>
        <w:numPr>
          <w:ilvl w:val="1"/>
          <w:numId w:val="29"/>
        </w:numPr>
        <w:spacing w:before="240"/>
        <w:ind w:left="788" w:hanging="431"/>
        <w:jc w:val="both"/>
        <w:rPr>
          <w:rFonts w:ascii="Arial Narrow" w:hAnsi="Arial Narrow"/>
        </w:rPr>
      </w:pPr>
      <w:r>
        <w:rPr>
          <w:rFonts w:ascii="Arial Narrow" w:hAnsi="Arial Narrow"/>
        </w:rPr>
        <w:t>A detenção considera-se legal sempre que o MDE ou a inserção no SIS que lhe serviram de base contiverem a informação exigida pelo artigo 3.º, n.º 1, da Lei n.º 65/2003.</w:t>
      </w:r>
    </w:p>
    <w:p w:rsidR="0005127D" w:rsidRPr="00BC4E39" w:rsidRDefault="0005127D" w:rsidP="00ED0C4A">
      <w:pPr>
        <w:numPr>
          <w:ilvl w:val="1"/>
          <w:numId w:val="29"/>
        </w:numPr>
        <w:spacing w:before="240"/>
        <w:jc w:val="both"/>
        <w:rPr>
          <w:rFonts w:ascii="Arial Narrow" w:hAnsi="Arial Narrow"/>
        </w:rPr>
      </w:pPr>
      <w:r w:rsidRPr="00BC4E39">
        <w:rPr>
          <w:rFonts w:ascii="Arial Narrow" w:hAnsi="Arial Narrow"/>
        </w:rPr>
        <w:t>Impõe-se ao MP a primeira verificação da regularidade formal e substancial do preenchimento do formulário do MDE e dos formulários “A” e “M” do SIS</w:t>
      </w:r>
      <w:r>
        <w:rPr>
          <w:rFonts w:ascii="Arial Narrow" w:hAnsi="Arial Narrow"/>
        </w:rPr>
        <w:t>, consoante os casos</w:t>
      </w:r>
      <w:r w:rsidRPr="00BC4E39">
        <w:rPr>
          <w:rFonts w:ascii="Arial Narrow" w:hAnsi="Arial Narrow"/>
        </w:rPr>
        <w:t>.</w:t>
      </w:r>
    </w:p>
    <w:p w:rsidR="0005127D" w:rsidRPr="00BC4E39" w:rsidRDefault="0005127D" w:rsidP="00ED0C4A">
      <w:pPr>
        <w:numPr>
          <w:ilvl w:val="1"/>
          <w:numId w:val="29"/>
        </w:numPr>
        <w:spacing w:before="240"/>
        <w:jc w:val="both"/>
        <w:rPr>
          <w:rFonts w:ascii="Arial Narrow" w:hAnsi="Arial Narrow"/>
        </w:rPr>
      </w:pPr>
      <w:r w:rsidRPr="00BC4E39">
        <w:rPr>
          <w:rFonts w:ascii="Arial Narrow" w:hAnsi="Arial Narrow"/>
        </w:rPr>
        <w:t>Sendo a ilegalidade flagrante e não sendo possível a obtenção imediata dos elementos em falta, não é possível ao juiz validar a detenção, podendo o MP ordenar a libertação.</w:t>
      </w:r>
    </w:p>
    <w:p w:rsidR="0005127D" w:rsidRPr="00BC4E39" w:rsidRDefault="0005127D" w:rsidP="00ED0C4A">
      <w:pPr>
        <w:numPr>
          <w:ilvl w:val="1"/>
          <w:numId w:val="29"/>
        </w:numPr>
        <w:spacing w:before="240"/>
        <w:jc w:val="both"/>
        <w:rPr>
          <w:rFonts w:ascii="Arial Narrow" w:hAnsi="Arial Narrow"/>
        </w:rPr>
      </w:pPr>
      <w:r w:rsidRPr="00BC4E39">
        <w:rPr>
          <w:rFonts w:ascii="Arial Narrow" w:hAnsi="Arial Narrow"/>
        </w:rPr>
        <w:t>O MP pode ouvir o detido se disso houver necessidade em vista da apreciação preliminar da legalidade da detenção, devendo fazê-lo se existir possível motivo de ilegalidade</w:t>
      </w:r>
      <w:r>
        <w:rPr>
          <w:rFonts w:ascii="Arial Narrow" w:hAnsi="Arial Narrow"/>
        </w:rPr>
        <w:t xml:space="preserve">, nomeadamente quando o formulário do MDE ou os formulários “A” e “M” da inserção SIS não contiverem os elementos legalmente exigidos. </w:t>
      </w:r>
    </w:p>
    <w:p w:rsidR="0005127D" w:rsidRPr="00BC4E39" w:rsidRDefault="0005127D" w:rsidP="00ED0C4A">
      <w:pPr>
        <w:numPr>
          <w:ilvl w:val="1"/>
          <w:numId w:val="29"/>
        </w:numPr>
        <w:spacing w:before="240"/>
        <w:jc w:val="both"/>
        <w:rPr>
          <w:rFonts w:ascii="Arial Narrow" w:hAnsi="Arial Narrow"/>
        </w:rPr>
      </w:pPr>
      <w:r w:rsidRPr="00BC4E39">
        <w:rPr>
          <w:rFonts w:ascii="Arial Narrow" w:hAnsi="Arial Narrow"/>
        </w:rPr>
        <w:t>O MP deixa registo escrito da efectivação do controlo prévio à apresentação ao juiz, mediante despacho no expediente recebido ou em requerimento inicial que formule para promoção da execução do MDE.</w:t>
      </w:r>
    </w:p>
    <w:p w:rsidR="0005127D" w:rsidRPr="00BC4E39" w:rsidRDefault="0005127D" w:rsidP="00ED0C4A">
      <w:pPr>
        <w:numPr>
          <w:ilvl w:val="1"/>
          <w:numId w:val="29"/>
        </w:numPr>
        <w:spacing w:before="240"/>
        <w:jc w:val="both"/>
        <w:rPr>
          <w:rFonts w:ascii="Arial Narrow" w:hAnsi="Arial Narrow"/>
        </w:rPr>
      </w:pPr>
      <w:r w:rsidRPr="00BC4E39">
        <w:rPr>
          <w:rFonts w:ascii="Arial Narrow" w:hAnsi="Arial Narrow"/>
        </w:rPr>
        <w:t>No caso de a pessoa procurada se encontrar presa à ordem de outro processo é aconselhável verificar qual o estabelecimento prisional em que se encontra, para efeitos de determinação da competência territorial do tribunal</w:t>
      </w:r>
      <w:r>
        <w:rPr>
          <w:rFonts w:ascii="Arial Narrow" w:hAnsi="Arial Narrow"/>
        </w:rPr>
        <w:t xml:space="preserve"> (artigo 15.º, n.º 1, da Lei n.º 65/2003)</w:t>
      </w:r>
      <w:r w:rsidRPr="00BC4E39">
        <w:rPr>
          <w:rFonts w:ascii="Arial Narrow" w:hAnsi="Arial Narrow"/>
        </w:rPr>
        <w:t xml:space="preserve">. </w:t>
      </w:r>
    </w:p>
    <w:p w:rsidR="0005127D" w:rsidRPr="00633245" w:rsidRDefault="0005127D" w:rsidP="00BF723E">
      <w:pPr>
        <w:numPr>
          <w:ilvl w:val="0"/>
          <w:numId w:val="29"/>
        </w:numPr>
        <w:spacing w:before="480"/>
        <w:ind w:left="357" w:hanging="357"/>
        <w:jc w:val="both"/>
        <w:rPr>
          <w:rFonts w:ascii="Arial Narrow" w:hAnsi="Arial Narrow"/>
          <w:b/>
          <w:i/>
        </w:rPr>
      </w:pPr>
      <w:r w:rsidRPr="00633245">
        <w:rPr>
          <w:rFonts w:ascii="Arial Narrow" w:hAnsi="Arial Narrow"/>
          <w:b/>
          <w:i/>
        </w:rPr>
        <w:t>A promoção da execução (diligências prévias; forma e conteúdo da promoção) – art</w:t>
      </w:r>
      <w:r>
        <w:rPr>
          <w:rFonts w:ascii="Arial Narrow" w:hAnsi="Arial Narrow"/>
          <w:b/>
          <w:i/>
        </w:rPr>
        <w:t>igo</w:t>
      </w:r>
      <w:r w:rsidRPr="00633245">
        <w:rPr>
          <w:rFonts w:ascii="Arial Narrow" w:hAnsi="Arial Narrow"/>
          <w:b/>
          <w:i/>
        </w:rPr>
        <w:t xml:space="preserve"> 16.</w:t>
      </w:r>
      <w:r>
        <w:rPr>
          <w:rFonts w:ascii="Arial Narrow" w:hAnsi="Arial Narrow"/>
          <w:b/>
          <w:i/>
        </w:rPr>
        <w:t>º, n.ºs 1 a 4, da Lei n.º 65/2003</w:t>
      </w:r>
    </w:p>
    <w:p w:rsidR="0005127D" w:rsidRDefault="0005127D" w:rsidP="00BF723E">
      <w:pPr>
        <w:numPr>
          <w:ilvl w:val="1"/>
          <w:numId w:val="29"/>
        </w:numPr>
        <w:spacing w:before="360"/>
        <w:ind w:left="788" w:hanging="431"/>
        <w:jc w:val="both"/>
        <w:rPr>
          <w:rFonts w:ascii="Arial Narrow" w:hAnsi="Arial Narrow"/>
        </w:rPr>
      </w:pPr>
      <w:r w:rsidRPr="00633245">
        <w:rPr>
          <w:rFonts w:ascii="Arial Narrow" w:hAnsi="Arial Narrow"/>
        </w:rPr>
        <w:t xml:space="preserve">É aconselhável elaborar requerimento inicial </w:t>
      </w:r>
      <w:r>
        <w:rPr>
          <w:rFonts w:ascii="Arial Narrow" w:hAnsi="Arial Narrow"/>
        </w:rPr>
        <w:t xml:space="preserve">para promoção de execução do MDE, em particular </w:t>
      </w:r>
      <w:r w:rsidRPr="00633245">
        <w:rPr>
          <w:rFonts w:ascii="Arial Narrow" w:hAnsi="Arial Narrow"/>
        </w:rPr>
        <w:t xml:space="preserve">nas </w:t>
      </w:r>
      <w:r>
        <w:rPr>
          <w:rFonts w:ascii="Arial Narrow" w:hAnsi="Arial Narrow"/>
        </w:rPr>
        <w:t xml:space="preserve">seguintes </w:t>
      </w:r>
      <w:r w:rsidRPr="00633245">
        <w:rPr>
          <w:rFonts w:ascii="Arial Narrow" w:hAnsi="Arial Narrow"/>
        </w:rPr>
        <w:t>situações</w:t>
      </w:r>
      <w:r>
        <w:rPr>
          <w:rFonts w:ascii="Arial Narrow" w:hAnsi="Arial Narrow"/>
        </w:rPr>
        <w:t>,</w:t>
      </w:r>
      <w:r w:rsidRPr="00633245">
        <w:rPr>
          <w:rFonts w:ascii="Arial Narrow" w:hAnsi="Arial Narrow"/>
        </w:rPr>
        <w:t xml:space="preserve"> </w:t>
      </w:r>
      <w:r>
        <w:rPr>
          <w:rFonts w:ascii="Arial Narrow" w:hAnsi="Arial Narrow"/>
        </w:rPr>
        <w:t>a identificar no requerimento:</w:t>
      </w:r>
    </w:p>
    <w:p w:rsidR="0005127D" w:rsidRDefault="0005127D" w:rsidP="00E8016E">
      <w:pPr>
        <w:numPr>
          <w:ilvl w:val="1"/>
          <w:numId w:val="38"/>
        </w:numPr>
        <w:spacing w:before="120"/>
        <w:jc w:val="both"/>
        <w:rPr>
          <w:rFonts w:ascii="Arial Narrow" w:hAnsi="Arial Narrow"/>
        </w:rPr>
      </w:pPr>
      <w:r>
        <w:rPr>
          <w:rFonts w:ascii="Arial Narrow" w:hAnsi="Arial Narrow"/>
        </w:rPr>
        <w:t>Q</w:t>
      </w:r>
      <w:r w:rsidRPr="00633245">
        <w:rPr>
          <w:rFonts w:ascii="Arial Narrow" w:hAnsi="Arial Narrow"/>
        </w:rPr>
        <w:t>uando forem insuficientes as informações constantes do formulário</w:t>
      </w:r>
      <w:r>
        <w:rPr>
          <w:rFonts w:ascii="Arial Narrow" w:hAnsi="Arial Narrow"/>
        </w:rPr>
        <w:t xml:space="preserve"> do MDE e haja necessidade de obter esclarecimentos complementares da autoridade de emissão (artigo 3.º);</w:t>
      </w:r>
    </w:p>
    <w:p w:rsidR="0005127D" w:rsidRPr="004E102F" w:rsidRDefault="0005127D" w:rsidP="004E102F">
      <w:pPr>
        <w:spacing w:before="120"/>
        <w:ind w:left="2160"/>
        <w:jc w:val="both"/>
        <w:rPr>
          <w:rFonts w:ascii="Arial Narrow" w:hAnsi="Arial Narrow"/>
          <w:sz w:val="22"/>
        </w:rPr>
      </w:pPr>
      <w:r w:rsidRPr="004E102F">
        <w:rPr>
          <w:rFonts w:ascii="Arial Narrow" w:hAnsi="Arial Narrow"/>
          <w:sz w:val="22"/>
        </w:rPr>
        <w:t>Particular atenção merece, a este propósito, a indicação, pela autoridade de emissão, de que o crime se integra ou não na lista de categorias das infracções constante da parte I do campo e) do formulário do MDE, para efeitos de se identificar a necessidade da verificação da dupla incriminação (cfr. artigo 3.º, n.ºs 2 e 3 da Lei n.º 65/2003).</w:t>
      </w:r>
    </w:p>
    <w:p w:rsidR="0005127D" w:rsidRPr="004E102F" w:rsidRDefault="0005127D" w:rsidP="004E102F">
      <w:pPr>
        <w:spacing w:before="120"/>
        <w:ind w:left="2160"/>
        <w:jc w:val="both"/>
        <w:rPr>
          <w:rFonts w:ascii="Arial Narrow" w:hAnsi="Arial Narrow"/>
          <w:sz w:val="22"/>
        </w:rPr>
      </w:pPr>
      <w:r w:rsidRPr="004E102F">
        <w:rPr>
          <w:rFonts w:ascii="Arial Narrow" w:hAnsi="Arial Narrow"/>
          <w:sz w:val="22"/>
        </w:rPr>
        <w:t>Podendo ocorrer a circunstância de o MDE se referir a várias infracções, importa ainda levar em conta o limite mínimo das penas privativas de liberdade e o disposto no artigo 7.º, n.º 2, al. b), c) e d) quanto a penas não privativas da liberdade que não relevam para efeitos do benefício da regra da especialidade.</w:t>
      </w:r>
    </w:p>
    <w:p w:rsidR="0005127D" w:rsidRDefault="0005127D" w:rsidP="00E8016E">
      <w:pPr>
        <w:numPr>
          <w:ilvl w:val="1"/>
          <w:numId w:val="39"/>
        </w:numPr>
        <w:spacing w:before="120"/>
        <w:jc w:val="both"/>
        <w:rPr>
          <w:rFonts w:ascii="Arial Narrow" w:hAnsi="Arial Narrow"/>
        </w:rPr>
      </w:pPr>
      <w:r>
        <w:rPr>
          <w:rFonts w:ascii="Arial Narrow" w:hAnsi="Arial Narrow"/>
        </w:rPr>
        <w:t>Q</w:t>
      </w:r>
      <w:r w:rsidRPr="00633245">
        <w:rPr>
          <w:rFonts w:ascii="Arial Narrow" w:hAnsi="Arial Narrow"/>
        </w:rPr>
        <w:t xml:space="preserve">uando se possam colocar questões relacionadas com eventuais causas de recusa obrigatória ou facultativa </w:t>
      </w:r>
      <w:r>
        <w:rPr>
          <w:rFonts w:ascii="Arial Narrow" w:hAnsi="Arial Narrow"/>
        </w:rPr>
        <w:t>(artigos 11.º e 12.º);</w:t>
      </w:r>
    </w:p>
    <w:p w:rsidR="0005127D" w:rsidRDefault="0005127D" w:rsidP="00E8016E">
      <w:pPr>
        <w:numPr>
          <w:ilvl w:val="1"/>
          <w:numId w:val="39"/>
        </w:numPr>
        <w:spacing w:before="120"/>
        <w:jc w:val="both"/>
        <w:rPr>
          <w:rFonts w:ascii="Arial Narrow" w:hAnsi="Arial Narrow"/>
        </w:rPr>
      </w:pPr>
      <w:r>
        <w:rPr>
          <w:rFonts w:ascii="Arial Narrow" w:hAnsi="Arial Narrow"/>
        </w:rPr>
        <w:t>Quando, estando a pessoa procurada presa preventivamente ou em cumprimento de pena à ordem de processo português, for caso de considerar a</w:t>
      </w:r>
      <w:r w:rsidRPr="00633245">
        <w:rPr>
          <w:rFonts w:ascii="Arial Narrow" w:hAnsi="Arial Narrow"/>
        </w:rPr>
        <w:t xml:space="preserve"> entrega condicional (temporária) ou diferida </w:t>
      </w:r>
      <w:r>
        <w:rPr>
          <w:rFonts w:ascii="Arial Narrow" w:hAnsi="Arial Narrow"/>
        </w:rPr>
        <w:t>(artigo 31.º); ou</w:t>
      </w:r>
    </w:p>
    <w:p w:rsidR="0005127D" w:rsidRDefault="0005127D" w:rsidP="00E8016E">
      <w:pPr>
        <w:numPr>
          <w:ilvl w:val="1"/>
          <w:numId w:val="39"/>
        </w:numPr>
        <w:spacing w:before="120"/>
        <w:jc w:val="both"/>
        <w:rPr>
          <w:rFonts w:ascii="Arial Narrow" w:hAnsi="Arial Narrow"/>
        </w:rPr>
      </w:pPr>
      <w:r>
        <w:rPr>
          <w:rFonts w:ascii="Arial Narrow" w:hAnsi="Arial Narrow"/>
        </w:rPr>
        <w:t xml:space="preserve">Quando, por razões de julgamento na ausência, de aplicação de pena com carácter perpétuo, de nacionalidade ou residência, se mostrar necessária a prestação de garantia de novo julgamento, de não execução da pena ou de devolução para cumprimento de pena em Portugal (artigo 13.º), respectivamente. </w:t>
      </w:r>
    </w:p>
    <w:p w:rsidR="0005127D" w:rsidRPr="00E96D66" w:rsidRDefault="0005127D" w:rsidP="00913D5B">
      <w:pPr>
        <w:spacing w:before="120"/>
        <w:ind w:left="2124"/>
        <w:jc w:val="both"/>
        <w:rPr>
          <w:rFonts w:ascii="Arial Narrow" w:hAnsi="Arial Narrow"/>
          <w:sz w:val="22"/>
        </w:rPr>
      </w:pPr>
      <w:r w:rsidRPr="00E96D66">
        <w:rPr>
          <w:rFonts w:ascii="Arial Narrow" w:hAnsi="Arial Narrow"/>
          <w:sz w:val="22"/>
        </w:rPr>
        <w:t xml:space="preserve">Não deve ser pedida garantia da possibilidade de interpor recurso, uma vez que esta garantia apenas está prevista na versão portuguesa da Decisão-Quadro </w:t>
      </w:r>
      <w:r>
        <w:rPr>
          <w:rFonts w:ascii="Arial Narrow" w:hAnsi="Arial Narrow"/>
          <w:sz w:val="22"/>
        </w:rPr>
        <w:t>e na legislação portuguesa que procede à transposição</w:t>
      </w:r>
      <w:r w:rsidRPr="00E96D66">
        <w:rPr>
          <w:rFonts w:ascii="Arial Narrow" w:hAnsi="Arial Narrow"/>
          <w:sz w:val="22"/>
        </w:rPr>
        <w:t xml:space="preserve"> </w:t>
      </w:r>
      <w:r>
        <w:rPr>
          <w:rFonts w:ascii="Arial Narrow" w:hAnsi="Arial Narrow"/>
          <w:sz w:val="22"/>
        </w:rPr>
        <w:t>(</w:t>
      </w:r>
      <w:r w:rsidRPr="00E96D66">
        <w:rPr>
          <w:rFonts w:ascii="Arial Narrow" w:hAnsi="Arial Narrow"/>
          <w:sz w:val="22"/>
        </w:rPr>
        <w:t>cfr. infra 10</w:t>
      </w:r>
      <w:r>
        <w:rPr>
          <w:rFonts w:ascii="Arial Narrow" w:hAnsi="Arial Narrow"/>
          <w:sz w:val="22"/>
        </w:rPr>
        <w:t>.2</w:t>
      </w:r>
      <w:r w:rsidRPr="00E96D66">
        <w:rPr>
          <w:rFonts w:ascii="Arial Narrow" w:hAnsi="Arial Narrow"/>
          <w:sz w:val="22"/>
        </w:rPr>
        <w:t>).</w:t>
      </w:r>
    </w:p>
    <w:p w:rsidR="0005127D" w:rsidRDefault="0005127D" w:rsidP="00BF723E">
      <w:pPr>
        <w:numPr>
          <w:ilvl w:val="1"/>
          <w:numId w:val="29"/>
        </w:numPr>
        <w:spacing w:before="240"/>
        <w:ind w:left="788" w:hanging="431"/>
        <w:jc w:val="both"/>
        <w:rPr>
          <w:rFonts w:ascii="Arial Narrow" w:hAnsi="Arial Narrow"/>
        </w:rPr>
      </w:pPr>
      <w:r>
        <w:rPr>
          <w:rFonts w:ascii="Arial Narrow" w:hAnsi="Arial Narrow"/>
        </w:rPr>
        <w:t>Nos casos anteriormente referidos em b), c) e d), deverá ser dado conhecimento à autoridade de emissão, logo que a situação seja conhecida, mediante promoção do MP. Em particular:</w:t>
      </w:r>
    </w:p>
    <w:p w:rsidR="0005127D" w:rsidRDefault="0005127D" w:rsidP="00E8016E">
      <w:pPr>
        <w:numPr>
          <w:ilvl w:val="0"/>
          <w:numId w:val="40"/>
        </w:numPr>
        <w:spacing w:before="120"/>
        <w:jc w:val="both"/>
        <w:rPr>
          <w:rFonts w:ascii="Arial Narrow" w:hAnsi="Arial Narrow"/>
        </w:rPr>
      </w:pPr>
      <w:r>
        <w:rPr>
          <w:rFonts w:ascii="Arial Narrow" w:hAnsi="Arial Narrow"/>
        </w:rPr>
        <w:t>No caso da al. c), deve ser referida a possibilidade de, em vez da entrega diferida, ser considerada a entrega temporária para efeitos de procedimento criminal, mediante acordo entre a autoridade de execução (tribunal da Relação) e a autoridade de emissão, solicitando-se as informações necessárias e o envio de proposta com vista ao acordo que considere o tempo necessário para realização da audição ou do julgamento e para o exercício do direito de defesa;</w:t>
      </w:r>
    </w:p>
    <w:p w:rsidR="0005127D" w:rsidRDefault="0005127D" w:rsidP="00913D5B">
      <w:pPr>
        <w:numPr>
          <w:ilvl w:val="0"/>
          <w:numId w:val="40"/>
        </w:numPr>
        <w:spacing w:before="120"/>
        <w:jc w:val="both"/>
        <w:rPr>
          <w:rFonts w:ascii="Arial Narrow" w:hAnsi="Arial Narrow"/>
        </w:rPr>
      </w:pPr>
      <w:r>
        <w:rPr>
          <w:rFonts w:ascii="Arial Narrow" w:hAnsi="Arial Narrow"/>
        </w:rPr>
        <w:t>No caso da al. d), deve ser solicitada a prestação da garantia que a situação exigir, sem a qual não poderá ser ordenada a entrega.</w:t>
      </w:r>
    </w:p>
    <w:p w:rsidR="0005127D" w:rsidRPr="00633245" w:rsidRDefault="0005127D" w:rsidP="00BF723E">
      <w:pPr>
        <w:numPr>
          <w:ilvl w:val="1"/>
          <w:numId w:val="29"/>
        </w:numPr>
        <w:spacing w:before="240"/>
        <w:ind w:left="788" w:hanging="431"/>
        <w:jc w:val="both"/>
        <w:rPr>
          <w:rFonts w:ascii="Arial Narrow" w:hAnsi="Arial Narrow"/>
        </w:rPr>
      </w:pPr>
      <w:r w:rsidRPr="00633245">
        <w:rPr>
          <w:rFonts w:ascii="Arial Narrow" w:hAnsi="Arial Narrow"/>
        </w:rPr>
        <w:t xml:space="preserve">As informações e esclarecimentos complementares podem também ser </w:t>
      </w:r>
      <w:r>
        <w:rPr>
          <w:rFonts w:ascii="Arial Narrow" w:hAnsi="Arial Narrow"/>
        </w:rPr>
        <w:t xml:space="preserve">directa e imediatamente </w:t>
      </w:r>
      <w:r w:rsidRPr="00633245">
        <w:rPr>
          <w:rFonts w:ascii="Arial Narrow" w:hAnsi="Arial Narrow"/>
        </w:rPr>
        <w:t>solicitadas</w:t>
      </w:r>
      <w:r>
        <w:rPr>
          <w:rFonts w:ascii="Arial Narrow" w:hAnsi="Arial Narrow"/>
        </w:rPr>
        <w:t xml:space="preserve"> </w:t>
      </w:r>
      <w:r w:rsidRPr="00633245">
        <w:rPr>
          <w:rFonts w:ascii="Arial Narrow" w:hAnsi="Arial Narrow"/>
        </w:rPr>
        <w:t xml:space="preserve">pelo MP </w:t>
      </w:r>
      <w:r>
        <w:rPr>
          <w:rFonts w:ascii="Arial Narrow" w:hAnsi="Arial Narrow"/>
        </w:rPr>
        <w:t>à autoridade de emissão</w:t>
      </w:r>
      <w:r w:rsidRPr="00633245">
        <w:rPr>
          <w:rFonts w:ascii="Arial Narrow" w:hAnsi="Arial Narrow"/>
        </w:rPr>
        <w:t xml:space="preserve">, usando os contactos </w:t>
      </w:r>
      <w:r>
        <w:rPr>
          <w:rFonts w:ascii="Arial Narrow" w:hAnsi="Arial Narrow"/>
        </w:rPr>
        <w:t>mencionados</w:t>
      </w:r>
      <w:r w:rsidRPr="00633245">
        <w:rPr>
          <w:rFonts w:ascii="Arial Narrow" w:hAnsi="Arial Narrow"/>
        </w:rPr>
        <w:t xml:space="preserve"> no MDE ou na inserção Schengen, de modo a habilit</w:t>
      </w:r>
      <w:r>
        <w:rPr>
          <w:rFonts w:ascii="Arial Narrow" w:hAnsi="Arial Narrow"/>
        </w:rPr>
        <w:t>á-lo</w:t>
      </w:r>
      <w:r w:rsidRPr="00633245">
        <w:rPr>
          <w:rFonts w:ascii="Arial Narrow" w:hAnsi="Arial Narrow"/>
        </w:rPr>
        <w:t xml:space="preserve"> a promover o que for necessário.</w:t>
      </w:r>
    </w:p>
    <w:p w:rsidR="0005127D" w:rsidRDefault="0005127D" w:rsidP="00BF723E">
      <w:pPr>
        <w:numPr>
          <w:ilvl w:val="1"/>
          <w:numId w:val="29"/>
        </w:numPr>
        <w:spacing w:before="240"/>
        <w:ind w:left="788" w:hanging="431"/>
        <w:jc w:val="both"/>
        <w:rPr>
          <w:rFonts w:ascii="Arial Narrow" w:hAnsi="Arial Narrow"/>
        </w:rPr>
      </w:pPr>
      <w:r w:rsidRPr="00633245">
        <w:rPr>
          <w:rFonts w:ascii="Arial Narrow" w:hAnsi="Arial Narrow"/>
        </w:rPr>
        <w:t>A promoção de execução do MDE, seja por requerimento</w:t>
      </w:r>
      <w:r>
        <w:rPr>
          <w:rFonts w:ascii="Arial Narrow" w:hAnsi="Arial Narrow"/>
        </w:rPr>
        <w:t>,</w:t>
      </w:r>
      <w:r w:rsidRPr="00633245">
        <w:rPr>
          <w:rFonts w:ascii="Arial Narrow" w:hAnsi="Arial Narrow"/>
        </w:rPr>
        <w:t xml:space="preserve"> seja mediante simples despacho no expediente recebido</w:t>
      </w:r>
      <w:r>
        <w:rPr>
          <w:rFonts w:ascii="Arial Narrow" w:hAnsi="Arial Narrow"/>
        </w:rPr>
        <w:t xml:space="preserve">, </w:t>
      </w:r>
      <w:r w:rsidRPr="00633245">
        <w:rPr>
          <w:rFonts w:ascii="Arial Narrow" w:hAnsi="Arial Narrow"/>
        </w:rPr>
        <w:t xml:space="preserve">para além </w:t>
      </w:r>
      <w:r>
        <w:rPr>
          <w:rFonts w:ascii="Arial Narrow" w:hAnsi="Arial Narrow"/>
        </w:rPr>
        <w:t xml:space="preserve">da promoção </w:t>
      </w:r>
      <w:r w:rsidRPr="00633245">
        <w:rPr>
          <w:rFonts w:ascii="Arial Narrow" w:hAnsi="Arial Narrow"/>
        </w:rPr>
        <w:t>da audição da pessoa procurada, suscita o despacho liminar a que se refere o artigo 16.º, n.º 2</w:t>
      </w:r>
      <w:r>
        <w:rPr>
          <w:rFonts w:ascii="Arial Narrow" w:hAnsi="Arial Narrow"/>
        </w:rPr>
        <w:t>, sobre a regularidade formal e substancial do formulário do MDE</w:t>
      </w:r>
      <w:r w:rsidRPr="00633245">
        <w:rPr>
          <w:rFonts w:ascii="Arial Narrow" w:hAnsi="Arial Narrow"/>
        </w:rPr>
        <w:t>.</w:t>
      </w:r>
    </w:p>
    <w:p w:rsidR="0005127D" w:rsidRDefault="0005127D" w:rsidP="00BF723E">
      <w:pPr>
        <w:numPr>
          <w:ilvl w:val="1"/>
          <w:numId w:val="29"/>
        </w:numPr>
        <w:spacing w:before="240"/>
        <w:ind w:left="788" w:hanging="431"/>
        <w:jc w:val="both"/>
        <w:rPr>
          <w:rFonts w:ascii="Arial Narrow" w:hAnsi="Arial Narrow"/>
        </w:rPr>
      </w:pPr>
      <w:r w:rsidRPr="00E96D66">
        <w:rPr>
          <w:rFonts w:ascii="Arial Narrow" w:hAnsi="Arial Narrow"/>
        </w:rPr>
        <w:t xml:space="preserve">Não havendo uma pessoa detida com base na inserção </w:t>
      </w:r>
      <w:r>
        <w:rPr>
          <w:rFonts w:ascii="Arial Narrow" w:hAnsi="Arial Narrow"/>
        </w:rPr>
        <w:t xml:space="preserve">no </w:t>
      </w:r>
      <w:r w:rsidRPr="00E96D66">
        <w:rPr>
          <w:rFonts w:ascii="Arial Narrow" w:hAnsi="Arial Narrow"/>
        </w:rPr>
        <w:t>SIS</w:t>
      </w:r>
      <w:r>
        <w:rPr>
          <w:rFonts w:ascii="Arial Narrow" w:hAnsi="Arial Narrow"/>
        </w:rPr>
        <w:t>,</w:t>
      </w:r>
      <w:r w:rsidRPr="00E96D66">
        <w:rPr>
          <w:rFonts w:ascii="Arial Narrow" w:hAnsi="Arial Narrow"/>
        </w:rPr>
        <w:t xml:space="preserve"> </w:t>
      </w:r>
      <w:r>
        <w:rPr>
          <w:rFonts w:ascii="Arial Narrow" w:hAnsi="Arial Narrow"/>
        </w:rPr>
        <w:t xml:space="preserve">comunicada pelo Gabinete Nacional Sirene, que não contenha a totalidade dos elementos que lhe conferem o valor de MDE  (artigo 4.º n.º 4), </w:t>
      </w:r>
      <w:r w:rsidRPr="00E96D66">
        <w:rPr>
          <w:rFonts w:ascii="Arial Narrow" w:hAnsi="Arial Narrow"/>
        </w:rPr>
        <w:t xml:space="preserve">aguarda-se </w:t>
      </w:r>
      <w:r>
        <w:rPr>
          <w:rFonts w:ascii="Arial Narrow" w:hAnsi="Arial Narrow"/>
        </w:rPr>
        <w:t>a recepção do MDE em devida forma, traduzido para Português, informando-se o Gabinete Nacional Sirene. Neste caso:</w:t>
      </w:r>
    </w:p>
    <w:p w:rsidR="0005127D" w:rsidRPr="00E8016E" w:rsidRDefault="0005127D" w:rsidP="00E8016E">
      <w:pPr>
        <w:pStyle w:val="ListParagraph"/>
        <w:numPr>
          <w:ilvl w:val="0"/>
          <w:numId w:val="41"/>
        </w:numPr>
        <w:spacing w:before="120"/>
        <w:jc w:val="both"/>
        <w:rPr>
          <w:rFonts w:ascii="Arial Narrow" w:hAnsi="Arial Narrow"/>
        </w:rPr>
      </w:pPr>
      <w:r w:rsidRPr="00E8016E">
        <w:rPr>
          <w:rFonts w:ascii="Arial Narrow" w:hAnsi="Arial Narrow"/>
        </w:rPr>
        <w:t>Solicita-se o envio urgente do MDE em boa e devida forma, com tradução para língua portuguesa;</w:t>
      </w:r>
    </w:p>
    <w:p w:rsidR="0005127D" w:rsidRPr="00E8016E" w:rsidRDefault="0005127D" w:rsidP="00E8016E">
      <w:pPr>
        <w:pStyle w:val="ListParagraph"/>
        <w:numPr>
          <w:ilvl w:val="0"/>
          <w:numId w:val="41"/>
        </w:numPr>
        <w:spacing w:before="120"/>
        <w:jc w:val="both"/>
        <w:rPr>
          <w:rFonts w:ascii="Arial Narrow" w:hAnsi="Arial Narrow"/>
        </w:rPr>
      </w:pPr>
      <w:r w:rsidRPr="00E8016E">
        <w:rPr>
          <w:rFonts w:ascii="Arial Narrow" w:hAnsi="Arial Narrow"/>
        </w:rPr>
        <w:t>Encontrando-se a pessoa procurada presa preventivamente ou em cumprimento de pena à ordem de processo português, informa-se o MP no tribunal competente da existência da inserção no SIS e do pedido de envio do MDE e do interesse da detenção à ordem da autoridade judiciária de emissão, solicitando-se informação sobre o tempo previsível da duração da privação da liberdade.</w:t>
      </w:r>
    </w:p>
    <w:p w:rsidR="0005127D" w:rsidRDefault="0005127D" w:rsidP="00BF723E">
      <w:pPr>
        <w:numPr>
          <w:ilvl w:val="1"/>
          <w:numId w:val="29"/>
        </w:numPr>
        <w:spacing w:before="240"/>
        <w:ind w:left="788" w:hanging="431"/>
        <w:jc w:val="both"/>
        <w:rPr>
          <w:rFonts w:ascii="Arial Narrow" w:hAnsi="Arial Narrow"/>
        </w:rPr>
      </w:pPr>
      <w:r>
        <w:rPr>
          <w:rFonts w:ascii="Arial Narrow" w:hAnsi="Arial Narrow"/>
        </w:rPr>
        <w:t xml:space="preserve">A tradução do MDE e das informações complementares para Português são da responsabilidade do Estado de emissão. </w:t>
      </w:r>
    </w:p>
    <w:p w:rsidR="0005127D" w:rsidRDefault="0005127D" w:rsidP="00913D5B">
      <w:pPr>
        <w:spacing w:before="120"/>
        <w:ind w:left="1416"/>
        <w:jc w:val="both"/>
        <w:rPr>
          <w:rFonts w:ascii="Arial Narrow" w:hAnsi="Arial Narrow"/>
          <w:sz w:val="22"/>
        </w:rPr>
      </w:pPr>
      <w:r w:rsidRPr="003B2422">
        <w:rPr>
          <w:rFonts w:ascii="Arial Narrow" w:hAnsi="Arial Narrow"/>
          <w:sz w:val="22"/>
        </w:rPr>
        <w:t>Portugal, enquanto Estado de execução, apenas tem que garantir a interpretação e tradução no âmbito do processo de execução do MDE para garantia dos direitos de defesa.</w:t>
      </w:r>
    </w:p>
    <w:p w:rsidR="0005127D" w:rsidRPr="004516DD" w:rsidRDefault="0005127D" w:rsidP="00913D5B">
      <w:pPr>
        <w:spacing w:before="120"/>
        <w:ind w:left="1416"/>
        <w:jc w:val="both"/>
        <w:rPr>
          <w:rFonts w:ascii="Arial Narrow" w:hAnsi="Arial Narrow"/>
          <w:sz w:val="22"/>
        </w:rPr>
      </w:pPr>
      <w:r w:rsidRPr="00E05F37">
        <w:rPr>
          <w:rFonts w:ascii="Arial Narrow" w:hAnsi="Arial Narrow"/>
          <w:sz w:val="22"/>
        </w:rPr>
        <w:t xml:space="preserve">Se o MDE for emitido por autoridade judiciária espanhola não lhe é aplicável o Acordo entre Portugal e Espanha </w:t>
      </w:r>
      <w:r>
        <w:rPr>
          <w:rFonts w:ascii="Arial Narrow" w:hAnsi="Arial Narrow"/>
          <w:sz w:val="22"/>
        </w:rPr>
        <w:t>relativo à cooperação judiciária em matéria penal e civil (aprovado pelo Decreto n.º 14/98, de 27 de Maio)</w:t>
      </w:r>
      <w:r w:rsidRPr="00E05F37">
        <w:rPr>
          <w:rFonts w:ascii="Arial Narrow" w:hAnsi="Arial Narrow"/>
          <w:sz w:val="22"/>
        </w:rPr>
        <w:t xml:space="preserve">, que não abrange o MDE, </w:t>
      </w:r>
      <w:r>
        <w:rPr>
          <w:rFonts w:ascii="Arial Narrow" w:hAnsi="Arial Narrow"/>
          <w:sz w:val="22"/>
        </w:rPr>
        <w:t xml:space="preserve">devendo este ser </w:t>
      </w:r>
      <w:r w:rsidRPr="00E05F37">
        <w:rPr>
          <w:rFonts w:ascii="Arial Narrow" w:hAnsi="Arial Narrow"/>
          <w:sz w:val="22"/>
        </w:rPr>
        <w:t>tradu</w:t>
      </w:r>
      <w:r>
        <w:rPr>
          <w:rFonts w:ascii="Arial Narrow" w:hAnsi="Arial Narrow"/>
          <w:sz w:val="22"/>
        </w:rPr>
        <w:t>zido</w:t>
      </w:r>
      <w:r w:rsidRPr="00E05F37">
        <w:rPr>
          <w:rFonts w:ascii="Arial Narrow" w:hAnsi="Arial Narrow"/>
          <w:sz w:val="22"/>
        </w:rPr>
        <w:t xml:space="preserve"> para Português.</w:t>
      </w:r>
    </w:p>
    <w:p w:rsidR="0005127D" w:rsidRPr="00C65415" w:rsidRDefault="0005127D" w:rsidP="00BF723E">
      <w:pPr>
        <w:numPr>
          <w:ilvl w:val="0"/>
          <w:numId w:val="29"/>
        </w:numPr>
        <w:spacing w:before="480"/>
        <w:ind w:left="357" w:hanging="357"/>
        <w:jc w:val="both"/>
        <w:rPr>
          <w:rFonts w:ascii="Arial Narrow" w:hAnsi="Arial Narrow"/>
        </w:rPr>
      </w:pPr>
      <w:r>
        <w:rPr>
          <w:rFonts w:ascii="Arial Narrow" w:hAnsi="Arial Narrow"/>
        </w:rPr>
        <w:t xml:space="preserve"> </w:t>
      </w:r>
      <w:r w:rsidRPr="00633245">
        <w:rPr>
          <w:rFonts w:ascii="Arial Narrow" w:hAnsi="Arial Narrow"/>
          <w:b/>
          <w:i/>
        </w:rPr>
        <w:t xml:space="preserve">Controlo de execução; o despacho liminar de verificação da forma e conteúdo do MDE – </w:t>
      </w:r>
      <w:r>
        <w:rPr>
          <w:rFonts w:ascii="Arial Narrow" w:hAnsi="Arial Narrow"/>
          <w:b/>
          <w:i/>
        </w:rPr>
        <w:t>artigo</w:t>
      </w:r>
      <w:r w:rsidRPr="00633245">
        <w:rPr>
          <w:rFonts w:ascii="Arial Narrow" w:hAnsi="Arial Narrow"/>
          <w:b/>
          <w:i/>
        </w:rPr>
        <w:t xml:space="preserve"> 16.</w:t>
      </w:r>
      <w:r>
        <w:rPr>
          <w:rFonts w:ascii="Arial Narrow" w:hAnsi="Arial Narrow"/>
          <w:b/>
          <w:i/>
        </w:rPr>
        <w:t xml:space="preserve">º, n.º </w:t>
      </w:r>
      <w:r w:rsidRPr="00633245">
        <w:rPr>
          <w:rFonts w:ascii="Arial Narrow" w:hAnsi="Arial Narrow"/>
          <w:b/>
          <w:i/>
        </w:rPr>
        <w:t>2</w:t>
      </w:r>
      <w:r>
        <w:rPr>
          <w:rFonts w:ascii="Arial Narrow" w:hAnsi="Arial Narrow"/>
          <w:b/>
          <w:i/>
        </w:rPr>
        <w:t xml:space="preserve">, da Lei n.º 65/2003 </w:t>
      </w:r>
    </w:p>
    <w:p w:rsidR="0005127D" w:rsidRPr="00633245" w:rsidRDefault="0005127D" w:rsidP="005A4431">
      <w:pPr>
        <w:numPr>
          <w:ilvl w:val="1"/>
          <w:numId w:val="30"/>
        </w:numPr>
        <w:spacing w:before="360"/>
        <w:jc w:val="both"/>
        <w:rPr>
          <w:rFonts w:ascii="Arial Narrow" w:hAnsi="Arial Narrow"/>
        </w:rPr>
      </w:pPr>
      <w:r>
        <w:rPr>
          <w:rFonts w:ascii="Arial Narrow" w:hAnsi="Arial Narrow"/>
        </w:rPr>
        <w:t>Ao suscitar o despacho liminar</w:t>
      </w:r>
      <w:r w:rsidRPr="00C65415">
        <w:rPr>
          <w:rFonts w:ascii="Arial Narrow" w:hAnsi="Arial Narrow"/>
        </w:rPr>
        <w:t>, o MP pronuncia-se sobre a regularidade formal e substancial do MDE</w:t>
      </w:r>
      <w:r>
        <w:rPr>
          <w:rFonts w:ascii="Arial Narrow" w:hAnsi="Arial Narrow"/>
        </w:rPr>
        <w:t xml:space="preserve">.  </w:t>
      </w:r>
    </w:p>
    <w:p w:rsidR="0005127D" w:rsidRDefault="0005127D" w:rsidP="00BF723E">
      <w:pPr>
        <w:numPr>
          <w:ilvl w:val="1"/>
          <w:numId w:val="30"/>
        </w:numPr>
        <w:spacing w:before="240"/>
        <w:ind w:left="788" w:hanging="431"/>
        <w:jc w:val="both"/>
        <w:rPr>
          <w:rFonts w:ascii="Arial Narrow" w:hAnsi="Arial Narrow"/>
        </w:rPr>
      </w:pPr>
      <w:r w:rsidRPr="00633245">
        <w:rPr>
          <w:rFonts w:ascii="Arial Narrow" w:hAnsi="Arial Narrow"/>
        </w:rPr>
        <w:t xml:space="preserve">O despacho liminar deverá igualmente ter lugar no caso de a detenção ocorrer com base em inserção </w:t>
      </w:r>
      <w:r>
        <w:rPr>
          <w:rFonts w:ascii="Arial Narrow" w:hAnsi="Arial Narrow"/>
        </w:rPr>
        <w:t xml:space="preserve">do MDE </w:t>
      </w:r>
      <w:r w:rsidRPr="00633245">
        <w:rPr>
          <w:rFonts w:ascii="Arial Narrow" w:hAnsi="Arial Narrow"/>
        </w:rPr>
        <w:t xml:space="preserve">no SIS, iniciando-se o processo com </w:t>
      </w:r>
      <w:r>
        <w:rPr>
          <w:rFonts w:ascii="Arial Narrow" w:hAnsi="Arial Narrow"/>
        </w:rPr>
        <w:t xml:space="preserve">a </w:t>
      </w:r>
      <w:r w:rsidRPr="00633245">
        <w:rPr>
          <w:rFonts w:ascii="Arial Narrow" w:hAnsi="Arial Narrow"/>
        </w:rPr>
        <w:t>subsequente apresentação do detido ao juiz.</w:t>
      </w:r>
      <w:r>
        <w:rPr>
          <w:rFonts w:ascii="Arial Narrow" w:hAnsi="Arial Narrow"/>
        </w:rPr>
        <w:t xml:space="preserve"> </w:t>
      </w:r>
    </w:p>
    <w:p w:rsidR="0005127D" w:rsidRPr="005B6D3C" w:rsidRDefault="0005127D" w:rsidP="00BF723E">
      <w:pPr>
        <w:numPr>
          <w:ilvl w:val="1"/>
          <w:numId w:val="30"/>
        </w:numPr>
        <w:spacing w:before="240"/>
        <w:ind w:left="788" w:hanging="431"/>
        <w:jc w:val="both"/>
        <w:rPr>
          <w:rFonts w:ascii="Arial Narrow" w:hAnsi="Arial Narrow"/>
        </w:rPr>
      </w:pPr>
      <w:r w:rsidRPr="005B6D3C">
        <w:rPr>
          <w:rFonts w:ascii="Arial Narrow" w:hAnsi="Arial Narrow"/>
        </w:rPr>
        <w:t xml:space="preserve">Neste caso, deverá o despacho verificar se a inserção no SIS contém os elementos exigidos, para que possa ter os efeitos do MDE, nos termos do artigo 4.º, n.º 4, da Lei </w:t>
      </w:r>
      <w:r>
        <w:rPr>
          <w:rFonts w:ascii="Arial Narrow" w:hAnsi="Arial Narrow"/>
        </w:rPr>
        <w:t xml:space="preserve">n.º </w:t>
      </w:r>
      <w:r w:rsidRPr="005B6D3C">
        <w:rPr>
          <w:rFonts w:ascii="Arial Narrow" w:hAnsi="Arial Narrow"/>
        </w:rPr>
        <w:t>65/2003.</w:t>
      </w:r>
    </w:p>
    <w:p w:rsidR="0005127D" w:rsidRPr="00633245" w:rsidRDefault="0005127D" w:rsidP="00BF723E">
      <w:pPr>
        <w:numPr>
          <w:ilvl w:val="0"/>
          <w:numId w:val="29"/>
        </w:numPr>
        <w:spacing w:before="480"/>
        <w:ind w:left="357" w:hanging="357"/>
        <w:jc w:val="both"/>
        <w:rPr>
          <w:rFonts w:ascii="Arial Narrow" w:hAnsi="Arial Narrow"/>
          <w:b/>
          <w:i/>
        </w:rPr>
      </w:pPr>
      <w:r w:rsidRPr="00633245">
        <w:rPr>
          <w:rFonts w:ascii="Arial Narrow" w:hAnsi="Arial Narrow"/>
          <w:b/>
          <w:i/>
        </w:rPr>
        <w:t xml:space="preserve">Pressupostos da validação da detenção; sua relação com a regularidade formal e substancial do MDE enquanto decisão judiciária – </w:t>
      </w:r>
      <w:r>
        <w:rPr>
          <w:rFonts w:ascii="Arial Narrow" w:hAnsi="Arial Narrow"/>
          <w:b/>
          <w:i/>
        </w:rPr>
        <w:t>artigos</w:t>
      </w:r>
      <w:r w:rsidRPr="00633245">
        <w:rPr>
          <w:rFonts w:ascii="Arial Narrow" w:hAnsi="Arial Narrow"/>
          <w:b/>
          <w:i/>
        </w:rPr>
        <w:t xml:space="preserve"> 1</w:t>
      </w:r>
      <w:r>
        <w:rPr>
          <w:rFonts w:ascii="Arial Narrow" w:hAnsi="Arial Narrow"/>
          <w:b/>
          <w:i/>
        </w:rPr>
        <w:t xml:space="preserve">.º, n.º 1, </w:t>
      </w:r>
      <w:r w:rsidRPr="00633245">
        <w:rPr>
          <w:rFonts w:ascii="Arial Narrow" w:hAnsi="Arial Narrow"/>
          <w:b/>
          <w:i/>
        </w:rPr>
        <w:t>e 18</w:t>
      </w:r>
      <w:r>
        <w:rPr>
          <w:rFonts w:ascii="Arial Narrow" w:hAnsi="Arial Narrow"/>
          <w:b/>
          <w:i/>
        </w:rPr>
        <w:t>.º, n.º 3, da Lei n.º 65/2003</w:t>
      </w:r>
    </w:p>
    <w:p w:rsidR="0005127D" w:rsidRDefault="0005127D" w:rsidP="00BF723E">
      <w:pPr>
        <w:numPr>
          <w:ilvl w:val="1"/>
          <w:numId w:val="29"/>
        </w:numPr>
        <w:spacing w:before="360"/>
        <w:ind w:left="788" w:hanging="431"/>
        <w:jc w:val="both"/>
        <w:rPr>
          <w:rFonts w:ascii="Arial Narrow" w:hAnsi="Arial Narrow"/>
        </w:rPr>
      </w:pPr>
      <w:r w:rsidRPr="00633245">
        <w:rPr>
          <w:rFonts w:ascii="Arial Narrow" w:hAnsi="Arial Narrow"/>
        </w:rPr>
        <w:t xml:space="preserve">A regularidade formal e substancial do MDE </w:t>
      </w:r>
      <w:r>
        <w:rPr>
          <w:rFonts w:ascii="Arial Narrow" w:hAnsi="Arial Narrow"/>
        </w:rPr>
        <w:t xml:space="preserve">(artigo 3.º) </w:t>
      </w:r>
      <w:r w:rsidRPr="00633245">
        <w:rPr>
          <w:rFonts w:ascii="Arial Narrow" w:hAnsi="Arial Narrow"/>
        </w:rPr>
        <w:t>é pressuposto da legalidade da detenção</w:t>
      </w:r>
      <w:r>
        <w:rPr>
          <w:rFonts w:ascii="Arial Narrow" w:hAnsi="Arial Narrow"/>
        </w:rPr>
        <w:t xml:space="preserve"> </w:t>
      </w:r>
      <w:r w:rsidRPr="00633245">
        <w:rPr>
          <w:rFonts w:ascii="Arial Narrow" w:hAnsi="Arial Narrow"/>
        </w:rPr>
        <w:t>com base no MDE</w:t>
      </w:r>
      <w:r>
        <w:rPr>
          <w:rFonts w:ascii="Arial Narrow" w:hAnsi="Arial Narrow"/>
        </w:rPr>
        <w:t>.</w:t>
      </w:r>
    </w:p>
    <w:p w:rsidR="0005127D" w:rsidRPr="00314D07" w:rsidRDefault="0005127D" w:rsidP="00913D5B">
      <w:pPr>
        <w:spacing w:before="240"/>
        <w:ind w:left="1418"/>
        <w:jc w:val="both"/>
        <w:rPr>
          <w:rFonts w:ascii="Arial Narrow" w:hAnsi="Arial Narrow"/>
          <w:sz w:val="22"/>
        </w:rPr>
      </w:pPr>
      <w:r w:rsidRPr="00314D07">
        <w:rPr>
          <w:rFonts w:ascii="Arial Narrow" w:hAnsi="Arial Narrow"/>
          <w:sz w:val="22"/>
        </w:rPr>
        <w:t>O MDE é uma decisão judiciária de uma autoridade estrangeira exequível em Portugal desde que contenha os elementos de forma e de fundo previstos na Decisão-Quadro, estando a competência dos tribunais portugueses limitada ao controlo da execução.</w:t>
      </w:r>
    </w:p>
    <w:p w:rsidR="0005127D" w:rsidRPr="00633245" w:rsidRDefault="0005127D" w:rsidP="00BF723E">
      <w:pPr>
        <w:numPr>
          <w:ilvl w:val="1"/>
          <w:numId w:val="29"/>
        </w:numPr>
        <w:spacing w:before="240"/>
        <w:ind w:left="788" w:hanging="431"/>
        <w:jc w:val="both"/>
        <w:rPr>
          <w:rFonts w:ascii="Arial Narrow" w:hAnsi="Arial Narrow"/>
        </w:rPr>
      </w:pPr>
      <w:r>
        <w:rPr>
          <w:rFonts w:ascii="Arial Narrow" w:hAnsi="Arial Narrow"/>
        </w:rPr>
        <w:t>Verificada a regularidade formal e substancial do MDE, está a detenção em condições de</w:t>
      </w:r>
      <w:r w:rsidRPr="00633245">
        <w:rPr>
          <w:rFonts w:ascii="Arial Narrow" w:hAnsi="Arial Narrow"/>
        </w:rPr>
        <w:t xml:space="preserve"> ser validada.</w:t>
      </w:r>
    </w:p>
    <w:p w:rsidR="0005127D" w:rsidRDefault="0005127D" w:rsidP="00BF723E">
      <w:pPr>
        <w:numPr>
          <w:ilvl w:val="0"/>
          <w:numId w:val="31"/>
        </w:numPr>
        <w:spacing w:before="480"/>
        <w:ind w:left="357" w:hanging="357"/>
        <w:jc w:val="both"/>
        <w:rPr>
          <w:rFonts w:ascii="Arial Narrow" w:hAnsi="Arial Narrow"/>
          <w:b/>
          <w:i/>
        </w:rPr>
      </w:pPr>
      <w:r w:rsidRPr="00633245">
        <w:rPr>
          <w:rFonts w:ascii="Arial Narrow" w:hAnsi="Arial Narrow"/>
          <w:b/>
          <w:i/>
        </w:rPr>
        <w:t xml:space="preserve">Manutenção da detenção; sua relação com o princípio do reconhecimento mútuo – </w:t>
      </w:r>
      <w:r w:rsidRPr="00D733E9">
        <w:rPr>
          <w:rFonts w:ascii="Arial Narrow" w:hAnsi="Arial Narrow"/>
          <w:b/>
          <w:i/>
        </w:rPr>
        <w:t xml:space="preserve">artigos </w:t>
      </w:r>
      <w:r w:rsidRPr="00633245">
        <w:rPr>
          <w:rFonts w:ascii="Arial Narrow" w:hAnsi="Arial Narrow"/>
          <w:b/>
          <w:i/>
        </w:rPr>
        <w:t>1</w:t>
      </w:r>
      <w:r>
        <w:rPr>
          <w:rFonts w:ascii="Arial Narrow" w:hAnsi="Arial Narrow"/>
          <w:b/>
          <w:i/>
        </w:rPr>
        <w:t xml:space="preserve">.º, n.º </w:t>
      </w:r>
      <w:r w:rsidRPr="00633245">
        <w:rPr>
          <w:rFonts w:ascii="Arial Narrow" w:hAnsi="Arial Narrow"/>
          <w:b/>
          <w:i/>
        </w:rPr>
        <w:t>2, 18</w:t>
      </w:r>
      <w:r>
        <w:rPr>
          <w:rFonts w:ascii="Arial Narrow" w:hAnsi="Arial Narrow"/>
          <w:b/>
          <w:i/>
        </w:rPr>
        <w:t xml:space="preserve">.º, n.º </w:t>
      </w:r>
      <w:r w:rsidRPr="00633245">
        <w:rPr>
          <w:rFonts w:ascii="Arial Narrow" w:hAnsi="Arial Narrow"/>
          <w:b/>
          <w:i/>
        </w:rPr>
        <w:t>3 e 26</w:t>
      </w:r>
      <w:r>
        <w:rPr>
          <w:rFonts w:ascii="Arial Narrow" w:hAnsi="Arial Narrow"/>
          <w:b/>
          <w:i/>
        </w:rPr>
        <w:t>.º, n.º 4, da Lei 65/2003</w:t>
      </w:r>
    </w:p>
    <w:p w:rsidR="0005127D" w:rsidRDefault="0005127D" w:rsidP="00BF723E">
      <w:pPr>
        <w:numPr>
          <w:ilvl w:val="1"/>
          <w:numId w:val="31"/>
        </w:numPr>
        <w:tabs>
          <w:tab w:val="left" w:pos="709"/>
        </w:tabs>
        <w:spacing w:before="360"/>
        <w:ind w:left="788" w:hanging="431"/>
        <w:jc w:val="both"/>
        <w:rPr>
          <w:rFonts w:ascii="Arial Narrow" w:hAnsi="Arial Narrow"/>
        </w:rPr>
      </w:pPr>
      <w:r>
        <w:rPr>
          <w:rFonts w:ascii="Arial Narrow" w:hAnsi="Arial Narrow"/>
        </w:rPr>
        <w:t xml:space="preserve"> N</w:t>
      </w:r>
      <w:r w:rsidRPr="00CF0551">
        <w:rPr>
          <w:rFonts w:ascii="Arial Narrow" w:hAnsi="Arial Narrow"/>
        </w:rPr>
        <w:t>ão sendo caso de flagrante ilegalidade, é o detido apresentado ao juiz para validação e manutenção da detenção ou aplicação de medida de coacção não detentiva.</w:t>
      </w:r>
    </w:p>
    <w:p w:rsidR="0005127D" w:rsidRPr="005A4431" w:rsidRDefault="0005127D" w:rsidP="00BF723E">
      <w:pPr>
        <w:numPr>
          <w:ilvl w:val="1"/>
          <w:numId w:val="32"/>
        </w:numPr>
        <w:tabs>
          <w:tab w:val="left" w:pos="709"/>
        </w:tabs>
        <w:spacing w:before="240"/>
        <w:ind w:left="788" w:hanging="431"/>
        <w:jc w:val="both"/>
        <w:rPr>
          <w:rFonts w:ascii="Arial Narrow" w:hAnsi="Arial Narrow"/>
        </w:rPr>
      </w:pPr>
      <w:r w:rsidRPr="005A4431">
        <w:rPr>
          <w:rFonts w:ascii="Arial Narrow" w:hAnsi="Arial Narrow"/>
        </w:rPr>
        <w:t xml:space="preserve"> O artigo 18.º, n.º 3, da Lei 65/2003, no que se refere à manutenção da detenção e à possibilidade de aplicação de medida de coacção, deve ser interpretado em conjugação com o artigo 24.º, n.º 1, al. a) – que se refere ao despacho que mantém a detenção – e em conformidade com a Constituição (n.º 3, al. c), do artigo 27.º), a Convenção Europeia dos Direitos do Homem (artigo 5.º, n.º 1, al. f), a Decisão-Quadro relativa ao MDE (artigo 12.º), pelo que a referência a “medida de coacção” deve ser entendida restritivamente, no sentido de se limitar a medida de coacção não detentiva.</w:t>
      </w:r>
    </w:p>
    <w:p w:rsidR="0005127D" w:rsidRDefault="0005127D" w:rsidP="00913D5B">
      <w:pPr>
        <w:tabs>
          <w:tab w:val="left" w:pos="709"/>
        </w:tabs>
        <w:spacing w:before="240"/>
        <w:ind w:left="1224"/>
        <w:jc w:val="both"/>
        <w:rPr>
          <w:rFonts w:ascii="Arial Narrow" w:hAnsi="Arial Narrow"/>
          <w:sz w:val="22"/>
        </w:rPr>
      </w:pPr>
      <w:r w:rsidRPr="008B4AB8">
        <w:rPr>
          <w:rFonts w:ascii="Arial Narrow" w:hAnsi="Arial Narrow"/>
          <w:sz w:val="22"/>
        </w:rPr>
        <w:t>A aplicação da prisão preventiva nos termos do artigo 202.º, n.º. 1, al. c), do CPP (para efeitos de extradição</w:t>
      </w:r>
      <w:r>
        <w:rPr>
          <w:rFonts w:ascii="Arial Narrow" w:hAnsi="Arial Narrow"/>
          <w:sz w:val="22"/>
        </w:rPr>
        <w:t>, que é decidida com base num pedido e não com base numa decisão de detenção</w:t>
      </w:r>
      <w:r w:rsidRPr="008B4AB8">
        <w:rPr>
          <w:rFonts w:ascii="Arial Narrow" w:hAnsi="Arial Narrow"/>
          <w:sz w:val="22"/>
        </w:rPr>
        <w:t>) não se harmoniza com a natureza e com o regime do MDE, que, sendo uma decisão de uma autoridade judiciária de um outro Estado-Membro da UE, produz, por si mesma, efeitos em Portugal (Estado de execução), por força do princípio do reconhecimento mútuo.</w:t>
      </w:r>
    </w:p>
    <w:p w:rsidR="0005127D" w:rsidRPr="008B4AB8" w:rsidRDefault="0005127D" w:rsidP="00913D5B">
      <w:pPr>
        <w:tabs>
          <w:tab w:val="left" w:pos="709"/>
        </w:tabs>
        <w:spacing w:before="240"/>
        <w:ind w:left="1224"/>
        <w:jc w:val="both"/>
        <w:rPr>
          <w:rFonts w:ascii="Arial Narrow" w:hAnsi="Arial Narrow"/>
          <w:sz w:val="22"/>
        </w:rPr>
      </w:pPr>
      <w:r>
        <w:rPr>
          <w:rFonts w:ascii="Arial Narrow" w:hAnsi="Arial Narrow"/>
          <w:sz w:val="22"/>
        </w:rPr>
        <w:t>Traduzindo-se o MDE num mecanismo de entrega que simplifica a extradição, a questão da manutenção da detenção pode igualmente ser analisada em função do disposto no artigo 52.º da Lei n.º 144/99, que se refere à substituição da detenção por outra medida de coacção não detentiva.</w:t>
      </w:r>
    </w:p>
    <w:p w:rsidR="0005127D" w:rsidRDefault="0005127D" w:rsidP="00913D5B">
      <w:pPr>
        <w:numPr>
          <w:ilvl w:val="1"/>
          <w:numId w:val="32"/>
        </w:numPr>
        <w:tabs>
          <w:tab w:val="left" w:pos="709"/>
        </w:tabs>
        <w:spacing w:before="240"/>
        <w:jc w:val="both"/>
        <w:rPr>
          <w:rFonts w:ascii="Arial Narrow" w:hAnsi="Arial Narrow"/>
        </w:rPr>
      </w:pPr>
      <w:r>
        <w:rPr>
          <w:rFonts w:ascii="Arial Narrow" w:hAnsi="Arial Narrow"/>
        </w:rPr>
        <w:t xml:space="preserve"> O princípio do reconhecimento mútuo, a que está sujeita a execução do MDE (artigo 1.º, n.º 2), não encontra definição no direito nacional, devendo o seu sentido, conteúdo e extensão ser preenchido por recurso à legislação da UE, nomeadamente, no caso concreto, à Decisão-Quadro 2002/584/JAI (MDE), e à jurisprudência do Tribunal de Justiça da UE (s</w:t>
      </w:r>
      <w:r w:rsidRPr="00633245">
        <w:rPr>
          <w:rFonts w:ascii="Arial Narrow" w:hAnsi="Arial Narrow"/>
        </w:rPr>
        <w:t>obre o valor da interpretação pelo Tri</w:t>
      </w:r>
      <w:r>
        <w:rPr>
          <w:rFonts w:ascii="Arial Narrow" w:hAnsi="Arial Narrow"/>
        </w:rPr>
        <w:t>bunal de Justiça da UE cfr. infra</w:t>
      </w:r>
      <w:r w:rsidRPr="00633245">
        <w:rPr>
          <w:rFonts w:ascii="Arial Narrow" w:hAnsi="Arial Narrow"/>
        </w:rPr>
        <w:t xml:space="preserve"> 9.</w:t>
      </w:r>
      <w:r>
        <w:rPr>
          <w:rFonts w:ascii="Arial Narrow" w:hAnsi="Arial Narrow"/>
        </w:rPr>
        <w:t>2).</w:t>
      </w:r>
    </w:p>
    <w:p w:rsidR="0005127D" w:rsidRPr="008B4AB8" w:rsidRDefault="0005127D" w:rsidP="00913D5B">
      <w:pPr>
        <w:tabs>
          <w:tab w:val="left" w:pos="709"/>
          <w:tab w:val="left" w:pos="1418"/>
          <w:tab w:val="left" w:pos="1980"/>
        </w:tabs>
        <w:spacing w:before="120"/>
        <w:ind w:left="1224"/>
        <w:jc w:val="both"/>
        <w:rPr>
          <w:rFonts w:ascii="Arial Narrow" w:hAnsi="Arial Narrow"/>
          <w:sz w:val="22"/>
        </w:rPr>
      </w:pPr>
      <w:r w:rsidRPr="008B4AB8">
        <w:rPr>
          <w:rFonts w:ascii="Arial Narrow" w:hAnsi="Arial Narrow"/>
          <w:sz w:val="22"/>
        </w:rPr>
        <w:t xml:space="preserve">O princípio do reconhecimento mútuo assenta em noções de equivalência e de confiança mútua nos sistemas jurídicos dos Estados-Membros da UE; nesta base, o Estado de execução está obrigado a executar o MDE que preencha os requisitos legais, estando limitado e reservado à autoridade judiciária de execução um papel de controlo da execução e </w:t>
      </w:r>
      <w:r>
        <w:rPr>
          <w:rFonts w:ascii="Arial Narrow" w:hAnsi="Arial Narrow"/>
          <w:sz w:val="22"/>
        </w:rPr>
        <w:t xml:space="preserve">de emissão </w:t>
      </w:r>
      <w:r w:rsidRPr="008B4AB8">
        <w:rPr>
          <w:rFonts w:ascii="Arial Narrow" w:hAnsi="Arial Narrow"/>
          <w:sz w:val="22"/>
        </w:rPr>
        <w:t>da decisão d</w:t>
      </w:r>
      <w:r>
        <w:rPr>
          <w:rFonts w:ascii="Arial Narrow" w:hAnsi="Arial Narrow"/>
          <w:sz w:val="22"/>
        </w:rPr>
        <w:t>e</w:t>
      </w:r>
      <w:r w:rsidRPr="008B4AB8">
        <w:rPr>
          <w:rFonts w:ascii="Arial Narrow" w:hAnsi="Arial Narrow"/>
          <w:sz w:val="22"/>
        </w:rPr>
        <w:t xml:space="preserve"> entrega, </w:t>
      </w:r>
      <w:r>
        <w:rPr>
          <w:rFonts w:ascii="Arial Narrow" w:hAnsi="Arial Narrow"/>
          <w:sz w:val="22"/>
        </w:rPr>
        <w:t xml:space="preserve">a </w:t>
      </w:r>
      <w:r w:rsidRPr="008B4AB8">
        <w:rPr>
          <w:rFonts w:ascii="Arial Narrow" w:hAnsi="Arial Narrow"/>
          <w:sz w:val="22"/>
        </w:rPr>
        <w:t>qu</w:t>
      </w:r>
      <w:r>
        <w:rPr>
          <w:rFonts w:ascii="Arial Narrow" w:hAnsi="Arial Narrow"/>
          <w:sz w:val="22"/>
        </w:rPr>
        <w:t>al</w:t>
      </w:r>
      <w:r w:rsidRPr="008B4AB8">
        <w:rPr>
          <w:rFonts w:ascii="Arial Narrow" w:hAnsi="Arial Narrow"/>
          <w:sz w:val="22"/>
        </w:rPr>
        <w:t xml:space="preserve"> só pode ser negada em caso de procedência de motivo de recusa de execução</w:t>
      </w:r>
      <w:r>
        <w:rPr>
          <w:rFonts w:ascii="Arial Narrow" w:hAnsi="Arial Narrow"/>
          <w:sz w:val="22"/>
        </w:rPr>
        <w:t xml:space="preserve"> ou de falta de prestação de garantias</w:t>
      </w:r>
      <w:r w:rsidRPr="008B4AB8">
        <w:rPr>
          <w:rFonts w:ascii="Arial Narrow" w:hAnsi="Arial Narrow"/>
          <w:sz w:val="22"/>
        </w:rPr>
        <w:t>.</w:t>
      </w:r>
    </w:p>
    <w:p w:rsidR="0005127D" w:rsidRPr="00236067" w:rsidRDefault="0005127D" w:rsidP="00236067">
      <w:pPr>
        <w:tabs>
          <w:tab w:val="left" w:pos="709"/>
          <w:tab w:val="left" w:pos="1418"/>
          <w:tab w:val="left" w:pos="1980"/>
        </w:tabs>
        <w:spacing w:before="120"/>
        <w:ind w:left="1224"/>
        <w:jc w:val="both"/>
        <w:rPr>
          <w:rFonts w:ascii="Arial Narrow" w:hAnsi="Arial Narrow"/>
          <w:sz w:val="22"/>
        </w:rPr>
      </w:pPr>
      <w:r w:rsidRPr="00236067">
        <w:rPr>
          <w:rFonts w:ascii="Arial Narrow" w:hAnsi="Arial Narrow"/>
          <w:sz w:val="22"/>
        </w:rPr>
        <w:t xml:space="preserve">O princípio do reconhecimento mútuo – por força do qual </w:t>
      </w:r>
      <w:r>
        <w:rPr>
          <w:rFonts w:ascii="Arial Narrow" w:hAnsi="Arial Narrow"/>
          <w:sz w:val="22"/>
        </w:rPr>
        <w:t xml:space="preserve">se estabelece uma relação entre </w:t>
      </w:r>
      <w:r w:rsidRPr="00236067">
        <w:rPr>
          <w:rFonts w:ascii="Arial Narrow" w:hAnsi="Arial Narrow"/>
          <w:sz w:val="22"/>
        </w:rPr>
        <w:t>um “Estado de emissão” e um “Estado de execução” – substitui, nas relações entre os Estados-Membros da UE, o princípio do pedido, em que assenta a cooperação tradicional entre Estados, nomeadamente a extradição, em que continua a estar presente um “Estado requerente” e um “Estado requerido”.</w:t>
      </w:r>
    </w:p>
    <w:p w:rsidR="0005127D" w:rsidRDefault="0005127D" w:rsidP="00BF723E">
      <w:pPr>
        <w:numPr>
          <w:ilvl w:val="1"/>
          <w:numId w:val="32"/>
        </w:numPr>
        <w:tabs>
          <w:tab w:val="left" w:pos="709"/>
          <w:tab w:val="left" w:pos="1418"/>
          <w:tab w:val="left" w:pos="1980"/>
        </w:tabs>
        <w:spacing w:before="240"/>
        <w:ind w:left="788" w:hanging="431"/>
        <w:jc w:val="both"/>
        <w:rPr>
          <w:rFonts w:ascii="Arial Narrow" w:hAnsi="Arial Narrow"/>
        </w:rPr>
      </w:pPr>
      <w:r>
        <w:rPr>
          <w:rFonts w:ascii="Arial Narrow" w:hAnsi="Arial Narrow"/>
        </w:rPr>
        <w:t xml:space="preserve"> O</w:t>
      </w:r>
      <w:r w:rsidRPr="00BF42CB">
        <w:rPr>
          <w:rFonts w:ascii="Arial Narrow" w:hAnsi="Arial Narrow"/>
        </w:rPr>
        <w:t xml:space="preserve"> reconhecimento mútuo de uma decisão estrangeira em matéria penal é entendido no sentido de esta produzir efeitos fora do Estado onde essa decisão foi pronunciada (“Estado de emissão”), como se de uma decisão nacional se tratasse, embora a eficácia da decisão, pela natureza dos interesses em presença fundados na “soberania penal”, esteja sujeita a mecanismos de controlo</w:t>
      </w:r>
      <w:r w:rsidRPr="00BF42CB">
        <w:rPr>
          <w:rFonts w:ascii="Arial Narrow" w:hAnsi="Arial Narrow"/>
          <w:b/>
        </w:rPr>
        <w:t xml:space="preserve"> </w:t>
      </w:r>
      <w:r w:rsidRPr="00E05F37">
        <w:rPr>
          <w:rFonts w:ascii="Arial Narrow" w:hAnsi="Arial Narrow"/>
        </w:rPr>
        <w:t>no</w:t>
      </w:r>
      <w:r w:rsidRPr="00BF42CB">
        <w:rPr>
          <w:rFonts w:ascii="Arial Narrow" w:hAnsi="Arial Narrow"/>
          <w:b/>
        </w:rPr>
        <w:t xml:space="preserve"> </w:t>
      </w:r>
      <w:r w:rsidRPr="00BF42CB">
        <w:rPr>
          <w:rFonts w:ascii="Arial Narrow" w:hAnsi="Arial Narrow"/>
        </w:rPr>
        <w:t>Estado em que concretamente produz efeitos (“Estado de execução”).</w:t>
      </w:r>
      <w:r>
        <w:rPr>
          <w:rFonts w:ascii="Arial Narrow" w:hAnsi="Arial Narrow"/>
        </w:rPr>
        <w:t xml:space="preserve"> </w:t>
      </w:r>
    </w:p>
    <w:p w:rsidR="0005127D" w:rsidRDefault="0005127D" w:rsidP="00BF723E">
      <w:pPr>
        <w:numPr>
          <w:ilvl w:val="1"/>
          <w:numId w:val="32"/>
        </w:numPr>
        <w:tabs>
          <w:tab w:val="left" w:pos="709"/>
          <w:tab w:val="left" w:pos="1418"/>
          <w:tab w:val="left" w:pos="1980"/>
        </w:tabs>
        <w:spacing w:before="240"/>
        <w:ind w:left="788" w:hanging="431"/>
        <w:jc w:val="both"/>
        <w:rPr>
          <w:rFonts w:ascii="Arial Narrow" w:hAnsi="Arial Narrow"/>
        </w:rPr>
      </w:pPr>
      <w:r w:rsidRPr="00DD75F3">
        <w:rPr>
          <w:rFonts w:ascii="Arial Narrow" w:hAnsi="Arial Narrow"/>
        </w:rPr>
        <w:t xml:space="preserve"> A este propósito, o Tribunal de Justiça da UE tem </w:t>
      </w:r>
      <w:r>
        <w:rPr>
          <w:rFonts w:ascii="Arial Narrow" w:hAnsi="Arial Narrow"/>
        </w:rPr>
        <w:t>interpretado a Decisão-Quadro relativa ao MDE nos seguintes termos</w:t>
      </w:r>
      <w:r w:rsidRPr="00DD75F3">
        <w:rPr>
          <w:rFonts w:ascii="Arial Narrow" w:hAnsi="Arial Narrow"/>
        </w:rPr>
        <w:t xml:space="preserve"> (cfr., designadamente, os acórdãos C-123/08, C-388/08, C-261/09 e C-42/11, cit. infra)</w:t>
      </w:r>
      <w:r>
        <w:rPr>
          <w:rStyle w:val="Refdenotaderodap"/>
          <w:rFonts w:ascii="Arial Narrow" w:hAnsi="Arial Narrow"/>
        </w:rPr>
        <w:footnoteReference w:id="2"/>
      </w:r>
      <w:r w:rsidRPr="00DD75F3">
        <w:rPr>
          <w:rFonts w:ascii="Arial Narrow" w:hAnsi="Arial Narrow"/>
        </w:rPr>
        <w:t>:</w:t>
      </w:r>
    </w:p>
    <w:p w:rsidR="0005127D" w:rsidRDefault="0005127D" w:rsidP="00E8016E">
      <w:pPr>
        <w:numPr>
          <w:ilvl w:val="0"/>
          <w:numId w:val="14"/>
        </w:numPr>
        <w:tabs>
          <w:tab w:val="left" w:pos="1134"/>
          <w:tab w:val="left" w:pos="1980"/>
        </w:tabs>
        <w:spacing w:before="120"/>
        <w:ind w:left="1134" w:hanging="426"/>
        <w:jc w:val="both"/>
        <w:rPr>
          <w:rFonts w:ascii="Arial Narrow" w:hAnsi="Arial Narrow"/>
        </w:rPr>
      </w:pPr>
      <w:r w:rsidRPr="00BF42CB">
        <w:rPr>
          <w:rFonts w:ascii="Arial Narrow" w:hAnsi="Arial Narrow"/>
        </w:rPr>
        <w:t>A Decisão-Quadro 2002/584/JAI, relativa ao MDE, como resulta, em particular, do seu artigo 1.º, bem como dos considerandos 5 e 7</w:t>
      </w:r>
      <w:r>
        <w:rPr>
          <w:rFonts w:ascii="Arial Narrow" w:hAnsi="Arial Narrow"/>
        </w:rPr>
        <w:t xml:space="preserve"> do preâmbulo</w:t>
      </w:r>
      <w:r w:rsidRPr="00BF42CB">
        <w:rPr>
          <w:rFonts w:ascii="Arial Narrow" w:hAnsi="Arial Narrow"/>
        </w:rPr>
        <w:t>, tem por objecto substituir a extradição entre os Estados-Membros por um si</w:t>
      </w:r>
      <w:r>
        <w:rPr>
          <w:rFonts w:ascii="Arial Narrow" w:hAnsi="Arial Narrow"/>
        </w:rPr>
        <w:t>stema de entrega entre autoridades judiciárias das pessoas condenadas ou suspeitas baseado no princípio do reconhecimento mútuo;</w:t>
      </w:r>
    </w:p>
    <w:p w:rsidR="0005127D" w:rsidRDefault="0005127D" w:rsidP="00E8016E">
      <w:pPr>
        <w:numPr>
          <w:ilvl w:val="0"/>
          <w:numId w:val="14"/>
        </w:numPr>
        <w:tabs>
          <w:tab w:val="left" w:pos="1134"/>
          <w:tab w:val="left" w:pos="1980"/>
        </w:tabs>
        <w:spacing w:before="120"/>
        <w:ind w:left="1134" w:hanging="426"/>
        <w:jc w:val="both"/>
        <w:rPr>
          <w:rFonts w:ascii="Arial Narrow" w:hAnsi="Arial Narrow"/>
        </w:rPr>
      </w:pPr>
      <w:r>
        <w:rPr>
          <w:rFonts w:ascii="Arial Narrow" w:hAnsi="Arial Narrow"/>
        </w:rPr>
        <w:t>Este princípio implica que os Estados-Membros são, em princípio, obrigados a cumprir o mandado de detenção europeu;</w:t>
      </w:r>
    </w:p>
    <w:p w:rsidR="0005127D" w:rsidRPr="008B4AB8" w:rsidRDefault="0005127D" w:rsidP="00E8016E">
      <w:pPr>
        <w:numPr>
          <w:ilvl w:val="0"/>
          <w:numId w:val="14"/>
        </w:numPr>
        <w:tabs>
          <w:tab w:val="left" w:pos="1134"/>
          <w:tab w:val="left" w:pos="1980"/>
        </w:tabs>
        <w:spacing w:before="120"/>
        <w:ind w:left="1134" w:hanging="426"/>
        <w:jc w:val="both"/>
        <w:rPr>
          <w:rFonts w:ascii="Arial Narrow" w:hAnsi="Arial Narrow"/>
        </w:rPr>
      </w:pPr>
      <w:r>
        <w:rPr>
          <w:rFonts w:ascii="Arial Narrow" w:hAnsi="Arial Narrow"/>
        </w:rPr>
        <w:t>O reconhecimento mútuo não implica, no entanto, uma obrigação absoluta de execução do mandado emitido; com efeito, o sistema da Decisão-Quadro, como resulta do seu artigo 4.º, deixa aos Estados-Membros a possibilidade de permitir às autoridades judiciárias competentes decidirem não entregar a pessoa procurada, nas situações em que se verifique um motivo de recusa,</w:t>
      </w:r>
      <w:r w:rsidRPr="00633245">
        <w:rPr>
          <w:rFonts w:ascii="Arial Narrow" w:hAnsi="Arial Narrow"/>
        </w:rPr>
        <w:t xml:space="preserve"> com base em regras comuns (causas de recusa obrigatória e facultativa).</w:t>
      </w:r>
    </w:p>
    <w:p w:rsidR="0005127D" w:rsidRDefault="0005127D" w:rsidP="00BF723E">
      <w:pPr>
        <w:numPr>
          <w:ilvl w:val="1"/>
          <w:numId w:val="32"/>
        </w:numPr>
        <w:tabs>
          <w:tab w:val="left" w:pos="851"/>
        </w:tabs>
        <w:spacing w:before="240"/>
        <w:ind w:left="850" w:hanging="493"/>
        <w:jc w:val="both"/>
        <w:rPr>
          <w:rFonts w:ascii="Arial Narrow" w:hAnsi="Arial Narrow"/>
        </w:rPr>
      </w:pPr>
      <w:r w:rsidRPr="00633245">
        <w:rPr>
          <w:rFonts w:ascii="Arial Narrow" w:hAnsi="Arial Narrow"/>
        </w:rPr>
        <w:t>Diversamente do que sucede com a extradição</w:t>
      </w:r>
      <w:r>
        <w:rPr>
          <w:rFonts w:ascii="Arial Narrow" w:hAnsi="Arial Narrow"/>
        </w:rPr>
        <w:t xml:space="preserve"> – </w:t>
      </w:r>
      <w:r w:rsidRPr="00633245">
        <w:rPr>
          <w:rFonts w:ascii="Arial Narrow" w:hAnsi="Arial Narrow"/>
        </w:rPr>
        <w:t xml:space="preserve">em que Portugal, enquanto </w:t>
      </w:r>
      <w:r>
        <w:rPr>
          <w:rFonts w:ascii="Arial Narrow" w:hAnsi="Arial Narrow"/>
        </w:rPr>
        <w:t>“</w:t>
      </w:r>
      <w:r w:rsidRPr="00633245">
        <w:rPr>
          <w:rFonts w:ascii="Arial Narrow" w:hAnsi="Arial Narrow"/>
        </w:rPr>
        <w:t>Estado requerido</w:t>
      </w:r>
      <w:r>
        <w:rPr>
          <w:rFonts w:ascii="Arial Narrow" w:hAnsi="Arial Narrow"/>
        </w:rPr>
        <w:t>”</w:t>
      </w:r>
      <w:r w:rsidRPr="00633245">
        <w:rPr>
          <w:rFonts w:ascii="Arial Narrow" w:hAnsi="Arial Narrow"/>
        </w:rPr>
        <w:t xml:space="preserve"> (que não </w:t>
      </w:r>
      <w:r>
        <w:rPr>
          <w:rFonts w:ascii="Arial Narrow" w:hAnsi="Arial Narrow"/>
        </w:rPr>
        <w:t>“</w:t>
      </w:r>
      <w:r w:rsidRPr="00633245">
        <w:rPr>
          <w:rFonts w:ascii="Arial Narrow" w:hAnsi="Arial Narrow"/>
        </w:rPr>
        <w:t>Estado de execução</w:t>
      </w:r>
      <w:r>
        <w:rPr>
          <w:rFonts w:ascii="Arial Narrow" w:hAnsi="Arial Narrow"/>
        </w:rPr>
        <w:t>”</w:t>
      </w:r>
      <w:r w:rsidRPr="00633245">
        <w:rPr>
          <w:rFonts w:ascii="Arial Narrow" w:hAnsi="Arial Narrow"/>
        </w:rPr>
        <w:t>), pode privar uma pessoa da liberdade</w:t>
      </w:r>
      <w:r>
        <w:rPr>
          <w:rFonts w:ascii="Arial Narrow" w:hAnsi="Arial Narrow"/>
        </w:rPr>
        <w:t>,</w:t>
      </w:r>
      <w:r w:rsidRPr="00633245">
        <w:rPr>
          <w:rFonts w:ascii="Arial Narrow" w:hAnsi="Arial Narrow"/>
        </w:rPr>
        <w:t xml:space="preserve"> por decisão sua</w:t>
      </w:r>
      <w:r>
        <w:rPr>
          <w:rFonts w:ascii="Arial Narrow" w:hAnsi="Arial Narrow"/>
        </w:rPr>
        <w:t>,</w:t>
      </w:r>
      <w:r w:rsidRPr="00633245">
        <w:rPr>
          <w:rFonts w:ascii="Arial Narrow" w:hAnsi="Arial Narrow"/>
        </w:rPr>
        <w:t xml:space="preserve"> para garantir a extradição </w:t>
      </w:r>
      <w:r>
        <w:rPr>
          <w:rFonts w:ascii="Arial Narrow" w:hAnsi="Arial Narrow"/>
        </w:rPr>
        <w:t xml:space="preserve">–, </w:t>
      </w:r>
      <w:r w:rsidRPr="00633245">
        <w:rPr>
          <w:rFonts w:ascii="Arial Narrow" w:hAnsi="Arial Narrow"/>
        </w:rPr>
        <w:t xml:space="preserve">a privação da liberdade </w:t>
      </w:r>
      <w:r>
        <w:rPr>
          <w:rFonts w:ascii="Arial Narrow" w:hAnsi="Arial Narrow"/>
        </w:rPr>
        <w:t xml:space="preserve">com base e em execução de um MDE </w:t>
      </w:r>
      <w:r w:rsidRPr="00633245">
        <w:rPr>
          <w:rFonts w:ascii="Arial Narrow" w:hAnsi="Arial Narrow"/>
        </w:rPr>
        <w:t xml:space="preserve">é determinada </w:t>
      </w:r>
      <w:r>
        <w:rPr>
          <w:rFonts w:ascii="Arial Narrow" w:hAnsi="Arial Narrow"/>
        </w:rPr>
        <w:t>por decisão de uma</w:t>
      </w:r>
      <w:r w:rsidRPr="00633245">
        <w:rPr>
          <w:rFonts w:ascii="Arial Narrow" w:hAnsi="Arial Narrow"/>
        </w:rPr>
        <w:t xml:space="preserve"> autoridade judiciária de outro Estado, </w:t>
      </w:r>
      <w:r>
        <w:rPr>
          <w:rFonts w:ascii="Arial Narrow" w:hAnsi="Arial Narrow"/>
        </w:rPr>
        <w:t xml:space="preserve">devendo </w:t>
      </w:r>
      <w:r w:rsidRPr="00633245">
        <w:rPr>
          <w:rFonts w:ascii="Arial Narrow" w:hAnsi="Arial Narrow"/>
        </w:rPr>
        <w:t xml:space="preserve">a pessoa </w:t>
      </w:r>
      <w:r>
        <w:rPr>
          <w:rFonts w:ascii="Arial Narrow" w:hAnsi="Arial Narrow"/>
        </w:rPr>
        <w:t xml:space="preserve">ser considerada </w:t>
      </w:r>
      <w:r w:rsidRPr="00633245">
        <w:rPr>
          <w:rFonts w:ascii="Arial Narrow" w:hAnsi="Arial Narrow"/>
        </w:rPr>
        <w:t>detida à ordem da autoridade desse Estado (</w:t>
      </w:r>
      <w:r>
        <w:rPr>
          <w:rFonts w:ascii="Arial Narrow" w:hAnsi="Arial Narrow"/>
        </w:rPr>
        <w:t>“</w:t>
      </w:r>
      <w:r w:rsidRPr="00633245">
        <w:rPr>
          <w:rFonts w:ascii="Arial Narrow" w:hAnsi="Arial Narrow"/>
        </w:rPr>
        <w:t>autoridade de emissão</w:t>
      </w:r>
      <w:r>
        <w:rPr>
          <w:rFonts w:ascii="Arial Narrow" w:hAnsi="Arial Narrow"/>
        </w:rPr>
        <w:t>”</w:t>
      </w:r>
      <w:r w:rsidRPr="00633245">
        <w:rPr>
          <w:rFonts w:ascii="Arial Narrow" w:hAnsi="Arial Narrow"/>
        </w:rPr>
        <w:t>).</w:t>
      </w:r>
    </w:p>
    <w:p w:rsidR="0005127D" w:rsidRPr="00272E8C" w:rsidRDefault="0005127D" w:rsidP="00913D5B">
      <w:pPr>
        <w:tabs>
          <w:tab w:val="left" w:pos="851"/>
        </w:tabs>
        <w:spacing w:before="120"/>
        <w:ind w:left="1224"/>
        <w:jc w:val="both"/>
        <w:rPr>
          <w:rFonts w:ascii="Arial Narrow" w:hAnsi="Arial Narrow"/>
          <w:sz w:val="22"/>
        </w:rPr>
      </w:pPr>
      <w:r w:rsidRPr="00272E8C">
        <w:rPr>
          <w:rFonts w:ascii="Arial Narrow" w:hAnsi="Arial Narrow"/>
          <w:sz w:val="22"/>
        </w:rPr>
        <w:t>De notar que</w:t>
      </w:r>
      <w:r>
        <w:rPr>
          <w:rFonts w:ascii="Arial Narrow" w:hAnsi="Arial Narrow"/>
          <w:sz w:val="22"/>
        </w:rPr>
        <w:t>, diferentemente do que sucede na extradição,</w:t>
      </w:r>
      <w:r w:rsidRPr="00272E8C">
        <w:rPr>
          <w:rFonts w:ascii="Arial Narrow" w:hAnsi="Arial Narrow"/>
          <w:sz w:val="22"/>
        </w:rPr>
        <w:t xml:space="preserve"> o tempo de detenção durante o processo de execução é descontado na pena que o detido tem de cumprir (cf. artigo </w:t>
      </w:r>
      <w:r>
        <w:rPr>
          <w:rFonts w:ascii="Arial Narrow" w:hAnsi="Arial Narrow"/>
          <w:sz w:val="22"/>
        </w:rPr>
        <w:t>10.º</w:t>
      </w:r>
      <w:r w:rsidRPr="00272E8C">
        <w:rPr>
          <w:rFonts w:ascii="Arial Narrow" w:hAnsi="Arial Narrow"/>
          <w:sz w:val="22"/>
        </w:rPr>
        <w:t xml:space="preserve"> da Lei n.º 65/2003).</w:t>
      </w:r>
    </w:p>
    <w:p w:rsidR="0005127D" w:rsidRPr="003B2422" w:rsidRDefault="0005127D" w:rsidP="00913D5B">
      <w:pPr>
        <w:tabs>
          <w:tab w:val="left" w:pos="851"/>
        </w:tabs>
        <w:spacing w:before="120"/>
        <w:ind w:left="1224"/>
        <w:jc w:val="both"/>
        <w:rPr>
          <w:rFonts w:ascii="Arial Narrow" w:hAnsi="Arial Narrow"/>
          <w:sz w:val="22"/>
        </w:rPr>
      </w:pPr>
      <w:r w:rsidRPr="003B2422">
        <w:rPr>
          <w:rFonts w:ascii="Arial Narrow" w:hAnsi="Arial Narrow"/>
          <w:sz w:val="22"/>
        </w:rPr>
        <w:t xml:space="preserve">Na coerência do sistema, </w:t>
      </w:r>
      <w:r>
        <w:rPr>
          <w:rFonts w:ascii="Arial Narrow" w:hAnsi="Arial Narrow"/>
          <w:sz w:val="22"/>
        </w:rPr>
        <w:t>a</w:t>
      </w:r>
      <w:r w:rsidRPr="003B2422">
        <w:rPr>
          <w:rFonts w:ascii="Arial Narrow" w:hAnsi="Arial Narrow"/>
          <w:sz w:val="22"/>
        </w:rPr>
        <w:t xml:space="preserve"> substitui</w:t>
      </w:r>
      <w:r>
        <w:rPr>
          <w:rFonts w:ascii="Arial Narrow" w:hAnsi="Arial Narrow"/>
          <w:sz w:val="22"/>
        </w:rPr>
        <w:t>ção</w:t>
      </w:r>
      <w:r w:rsidRPr="003B2422">
        <w:rPr>
          <w:rFonts w:ascii="Arial Narrow" w:hAnsi="Arial Narrow"/>
          <w:sz w:val="22"/>
        </w:rPr>
        <w:t xml:space="preserve"> </w:t>
      </w:r>
      <w:r>
        <w:rPr>
          <w:rFonts w:ascii="Arial Narrow" w:hAnsi="Arial Narrow"/>
          <w:sz w:val="22"/>
        </w:rPr>
        <w:t>d</w:t>
      </w:r>
      <w:r w:rsidRPr="003B2422">
        <w:rPr>
          <w:rFonts w:ascii="Arial Narrow" w:hAnsi="Arial Narrow"/>
          <w:sz w:val="22"/>
        </w:rPr>
        <w:t xml:space="preserve">a medida de privação da liberdade </w:t>
      </w:r>
      <w:r>
        <w:rPr>
          <w:rFonts w:ascii="Arial Narrow" w:hAnsi="Arial Narrow"/>
          <w:sz w:val="22"/>
        </w:rPr>
        <w:t xml:space="preserve">(detenção) </w:t>
      </w:r>
      <w:r w:rsidRPr="003B2422">
        <w:rPr>
          <w:rFonts w:ascii="Arial Narrow" w:hAnsi="Arial Narrow"/>
          <w:sz w:val="22"/>
        </w:rPr>
        <w:t>decretada pela autoridade de emissão por outra medida privativa da liberdade (prisão preventiva)</w:t>
      </w:r>
      <w:r>
        <w:rPr>
          <w:rFonts w:ascii="Arial Narrow" w:hAnsi="Arial Narrow"/>
          <w:sz w:val="22"/>
        </w:rPr>
        <w:t xml:space="preserve"> </w:t>
      </w:r>
      <w:r w:rsidRPr="003B2422">
        <w:rPr>
          <w:rFonts w:ascii="Arial Narrow" w:hAnsi="Arial Narrow"/>
          <w:sz w:val="22"/>
        </w:rPr>
        <w:t>implicaria a verificação dos pressupostos exigidos pelo CPP para a respectiva aplicação, pressupostos que a autoridade de execução não pode nem está em condições de poder apreciar, pois que não se trata de um processo seu.</w:t>
      </w:r>
    </w:p>
    <w:p w:rsidR="0005127D" w:rsidRPr="00272E8C" w:rsidRDefault="0005127D" w:rsidP="00913D5B">
      <w:pPr>
        <w:tabs>
          <w:tab w:val="left" w:pos="851"/>
          <w:tab w:val="left" w:pos="1418"/>
          <w:tab w:val="left" w:pos="1980"/>
        </w:tabs>
        <w:spacing w:before="120"/>
        <w:ind w:left="1224"/>
        <w:jc w:val="both"/>
        <w:rPr>
          <w:rFonts w:ascii="Arial Narrow" w:hAnsi="Arial Narrow"/>
          <w:sz w:val="22"/>
        </w:rPr>
      </w:pPr>
      <w:r w:rsidRPr="00272E8C">
        <w:rPr>
          <w:rFonts w:ascii="Arial Narrow" w:hAnsi="Arial Narrow"/>
          <w:sz w:val="22"/>
        </w:rPr>
        <w:t>Na execução do MDE não pode o Estado de execução conhecer dos fundamentos que determinaram a decisão de detenção pelo Estado de emissão, nomeadamente dos pressupostos da prisão preventiva, à luz do direito do Estado de emissão ou do Estado de execução.</w:t>
      </w:r>
    </w:p>
    <w:p w:rsidR="0005127D" w:rsidRPr="00CE0129" w:rsidRDefault="0005127D" w:rsidP="00913D5B">
      <w:pPr>
        <w:tabs>
          <w:tab w:val="left" w:pos="851"/>
          <w:tab w:val="left" w:pos="1980"/>
        </w:tabs>
        <w:spacing w:before="120"/>
        <w:ind w:left="1224"/>
        <w:jc w:val="both"/>
        <w:rPr>
          <w:rFonts w:ascii="Arial Narrow" w:hAnsi="Arial Narrow"/>
          <w:sz w:val="22"/>
        </w:rPr>
      </w:pPr>
      <w:r w:rsidRPr="00CE0129">
        <w:rPr>
          <w:rFonts w:ascii="Arial Narrow" w:hAnsi="Arial Narrow"/>
          <w:sz w:val="22"/>
        </w:rPr>
        <w:t xml:space="preserve">Embora </w:t>
      </w:r>
      <w:r>
        <w:rPr>
          <w:rFonts w:ascii="Arial Narrow" w:hAnsi="Arial Narrow"/>
          <w:sz w:val="22"/>
        </w:rPr>
        <w:t>daqui possa resultar um</w:t>
      </w:r>
      <w:r w:rsidRPr="00CE0129">
        <w:rPr>
          <w:rFonts w:ascii="Arial Narrow" w:hAnsi="Arial Narrow"/>
          <w:sz w:val="22"/>
        </w:rPr>
        <w:t xml:space="preserve"> risco de tratamento desigual entre residentes e não residentes no Estado onde se realiza o julgamento, com </w:t>
      </w:r>
      <w:r>
        <w:rPr>
          <w:rFonts w:ascii="Arial Narrow" w:hAnsi="Arial Narrow"/>
          <w:sz w:val="22"/>
        </w:rPr>
        <w:t xml:space="preserve">eventual </w:t>
      </w:r>
      <w:r w:rsidRPr="00CE0129">
        <w:rPr>
          <w:rFonts w:ascii="Arial Narrow" w:hAnsi="Arial Narrow"/>
          <w:sz w:val="22"/>
        </w:rPr>
        <w:t xml:space="preserve">violação dos princípios da igualdade e da proporcionalidade – que pode resultar da detenção de não residentes no caso de execução de um MDE e à não detenção (prisão) de residentes em processo nacional, em situações semelhantes –, esta questão deverá </w:t>
      </w:r>
      <w:r>
        <w:rPr>
          <w:rFonts w:ascii="Arial Narrow" w:hAnsi="Arial Narrow"/>
          <w:sz w:val="22"/>
        </w:rPr>
        <w:t>equacionar-se</w:t>
      </w:r>
      <w:r w:rsidRPr="00CE0129">
        <w:rPr>
          <w:rFonts w:ascii="Arial Narrow" w:hAnsi="Arial Narrow"/>
          <w:sz w:val="22"/>
        </w:rPr>
        <w:t xml:space="preserve"> no âmbito da Decisão-Quadro 2009/829/JAI do Conselho, de 23 de Outubro de 2009, relativa à aplicação, entre os Estados-Membros da União Europeia, do princípio do reconhecimento mútuo às decisões sobre medidas de controlo, em alternativa à prisão preventiva, que os Estados-membros se obrigaram a transpor até 1.12.2012 e que Portugal ainda não transpôs.</w:t>
      </w:r>
    </w:p>
    <w:p w:rsidR="0005127D" w:rsidRPr="00633245" w:rsidRDefault="0005127D" w:rsidP="00BF723E">
      <w:pPr>
        <w:numPr>
          <w:ilvl w:val="0"/>
          <w:numId w:val="32"/>
        </w:numPr>
        <w:spacing w:before="480"/>
        <w:ind w:left="357" w:hanging="357"/>
        <w:jc w:val="both"/>
        <w:rPr>
          <w:rFonts w:ascii="Arial Narrow" w:hAnsi="Arial Narrow"/>
          <w:b/>
          <w:i/>
        </w:rPr>
      </w:pPr>
      <w:r w:rsidRPr="00633245">
        <w:rPr>
          <w:rFonts w:ascii="Arial Narrow" w:hAnsi="Arial Narrow"/>
          <w:b/>
          <w:i/>
        </w:rPr>
        <w:t>A possibilidade de aplicação da medida de coacção</w:t>
      </w:r>
      <w:r>
        <w:rPr>
          <w:rFonts w:ascii="Arial Narrow" w:hAnsi="Arial Narrow"/>
          <w:b/>
          <w:i/>
        </w:rPr>
        <w:t xml:space="preserve">, em substituição da detenção </w:t>
      </w:r>
      <w:r w:rsidRPr="00633245">
        <w:rPr>
          <w:rFonts w:ascii="Arial Narrow" w:hAnsi="Arial Narrow"/>
          <w:b/>
          <w:i/>
        </w:rPr>
        <w:t xml:space="preserve"> – </w:t>
      </w:r>
      <w:r>
        <w:rPr>
          <w:rFonts w:ascii="Arial Narrow" w:hAnsi="Arial Narrow"/>
          <w:b/>
          <w:i/>
        </w:rPr>
        <w:t>artigos</w:t>
      </w:r>
      <w:r w:rsidRPr="00633245">
        <w:rPr>
          <w:rFonts w:ascii="Arial Narrow" w:hAnsi="Arial Narrow"/>
          <w:b/>
          <w:i/>
        </w:rPr>
        <w:t xml:space="preserve"> 18.</w:t>
      </w:r>
      <w:r>
        <w:rPr>
          <w:rFonts w:ascii="Arial Narrow" w:hAnsi="Arial Narrow"/>
          <w:b/>
          <w:i/>
        </w:rPr>
        <w:t xml:space="preserve">º, n.º </w:t>
      </w:r>
      <w:r w:rsidRPr="00633245">
        <w:rPr>
          <w:rFonts w:ascii="Arial Narrow" w:hAnsi="Arial Narrow"/>
          <w:b/>
          <w:i/>
        </w:rPr>
        <w:t>3</w:t>
      </w:r>
      <w:r>
        <w:rPr>
          <w:rFonts w:ascii="Arial Narrow" w:hAnsi="Arial Narrow"/>
          <w:b/>
          <w:i/>
        </w:rPr>
        <w:t>,</w:t>
      </w:r>
      <w:r w:rsidRPr="00633245">
        <w:rPr>
          <w:rFonts w:ascii="Arial Narrow" w:hAnsi="Arial Narrow"/>
          <w:b/>
          <w:i/>
        </w:rPr>
        <w:t xml:space="preserve"> e 24.</w:t>
      </w:r>
      <w:r>
        <w:rPr>
          <w:rFonts w:ascii="Arial Narrow" w:hAnsi="Arial Narrow"/>
          <w:b/>
          <w:i/>
        </w:rPr>
        <w:t>º, n.º1, al</w:t>
      </w:r>
      <w:r w:rsidRPr="00633245">
        <w:rPr>
          <w:rFonts w:ascii="Arial Narrow" w:hAnsi="Arial Narrow"/>
          <w:b/>
          <w:i/>
        </w:rPr>
        <w:t>.</w:t>
      </w:r>
      <w:r>
        <w:rPr>
          <w:rFonts w:ascii="Arial Narrow" w:hAnsi="Arial Narrow"/>
          <w:b/>
          <w:i/>
        </w:rPr>
        <w:t xml:space="preserve"> </w:t>
      </w:r>
      <w:r w:rsidRPr="00633245">
        <w:rPr>
          <w:rFonts w:ascii="Arial Narrow" w:hAnsi="Arial Narrow"/>
          <w:b/>
          <w:i/>
        </w:rPr>
        <w:t>a</w:t>
      </w:r>
      <w:r>
        <w:rPr>
          <w:rFonts w:ascii="Arial Narrow" w:hAnsi="Arial Narrow"/>
          <w:b/>
          <w:i/>
        </w:rPr>
        <w:t>), da Lei n.º 65/2003</w:t>
      </w:r>
    </w:p>
    <w:p w:rsidR="0005127D" w:rsidRDefault="0005127D" w:rsidP="00BF723E">
      <w:pPr>
        <w:numPr>
          <w:ilvl w:val="1"/>
          <w:numId w:val="33"/>
        </w:numPr>
        <w:spacing w:before="360"/>
        <w:ind w:left="788" w:hanging="431"/>
        <w:jc w:val="both"/>
        <w:rPr>
          <w:rFonts w:ascii="Arial Narrow" w:hAnsi="Arial Narrow"/>
        </w:rPr>
      </w:pPr>
      <w:r w:rsidRPr="00633245">
        <w:rPr>
          <w:rFonts w:ascii="Arial Narrow" w:hAnsi="Arial Narrow"/>
        </w:rPr>
        <w:t>A</w:t>
      </w:r>
      <w:r>
        <w:rPr>
          <w:rFonts w:ascii="Arial Narrow" w:hAnsi="Arial Narrow"/>
        </w:rPr>
        <w:t xml:space="preserve">o aplicar medida de coacção não detentiva o juiz determina </w:t>
      </w:r>
      <w:r w:rsidRPr="00633245">
        <w:rPr>
          <w:rFonts w:ascii="Arial Narrow" w:hAnsi="Arial Narrow"/>
        </w:rPr>
        <w:t xml:space="preserve">a </w:t>
      </w:r>
      <w:r>
        <w:rPr>
          <w:rFonts w:ascii="Arial Narrow" w:hAnsi="Arial Narrow"/>
        </w:rPr>
        <w:t>“</w:t>
      </w:r>
      <w:r w:rsidRPr="00633245">
        <w:rPr>
          <w:rFonts w:ascii="Arial Narrow" w:hAnsi="Arial Narrow"/>
        </w:rPr>
        <w:t>libertação provisória</w:t>
      </w:r>
      <w:r>
        <w:rPr>
          <w:rFonts w:ascii="Arial Narrow" w:hAnsi="Arial Narrow"/>
        </w:rPr>
        <w:t>”</w:t>
      </w:r>
      <w:r w:rsidRPr="00633245">
        <w:rPr>
          <w:rFonts w:ascii="Arial Narrow" w:hAnsi="Arial Narrow"/>
        </w:rPr>
        <w:t xml:space="preserve"> </w:t>
      </w:r>
      <w:r>
        <w:rPr>
          <w:rFonts w:ascii="Arial Narrow" w:hAnsi="Arial Narrow"/>
        </w:rPr>
        <w:t>(</w:t>
      </w:r>
      <w:r w:rsidRPr="00633245">
        <w:rPr>
          <w:rFonts w:ascii="Arial Narrow" w:hAnsi="Arial Narrow"/>
        </w:rPr>
        <w:t>na terminologia usada pela Decisão-Quadro sobre o MDE</w:t>
      </w:r>
      <w:r>
        <w:rPr>
          <w:rFonts w:ascii="Arial Narrow" w:hAnsi="Arial Narrow"/>
        </w:rPr>
        <w:t xml:space="preserve"> – artigo 12.º);</w:t>
      </w:r>
    </w:p>
    <w:p w:rsidR="0005127D" w:rsidRPr="00CE0129" w:rsidRDefault="0005127D" w:rsidP="00BF723E">
      <w:pPr>
        <w:numPr>
          <w:ilvl w:val="1"/>
          <w:numId w:val="32"/>
        </w:numPr>
        <w:spacing w:before="240"/>
        <w:ind w:left="788" w:hanging="431"/>
        <w:jc w:val="both"/>
        <w:rPr>
          <w:rFonts w:ascii="Arial Narrow" w:hAnsi="Arial Narrow"/>
        </w:rPr>
      </w:pPr>
      <w:r>
        <w:rPr>
          <w:rFonts w:ascii="Arial Narrow" w:hAnsi="Arial Narrow"/>
        </w:rPr>
        <w:t>A possibilidade de libertação provisória</w:t>
      </w:r>
      <w:r w:rsidRPr="00633245">
        <w:rPr>
          <w:rFonts w:ascii="Arial Narrow" w:hAnsi="Arial Narrow"/>
        </w:rPr>
        <w:t xml:space="preserve"> limita-se a situa</w:t>
      </w:r>
      <w:r w:rsidRPr="00CE0129">
        <w:rPr>
          <w:rFonts w:ascii="Arial Narrow" w:hAnsi="Arial Narrow"/>
        </w:rPr>
        <w:t>ções excepcionais, pois só poderá ocorrer na condição de a autoridade judiciária portuguesa (autoridade de execução) tomar todas as medidas que considerar necessárias a fim de evitar a fuga da pessoa procurada, em conformidade com a regra estabelecida na Decisão-Quadro (artigo 12.º).</w:t>
      </w:r>
    </w:p>
    <w:p w:rsidR="0005127D" w:rsidRPr="00633245" w:rsidRDefault="0005127D" w:rsidP="00913D5B">
      <w:pPr>
        <w:spacing w:before="120"/>
        <w:ind w:left="1224"/>
        <w:jc w:val="both"/>
        <w:rPr>
          <w:rFonts w:ascii="Arial Narrow" w:hAnsi="Arial Narrow"/>
        </w:rPr>
      </w:pPr>
      <w:r w:rsidRPr="00423537">
        <w:rPr>
          <w:rFonts w:ascii="Arial Narrow" w:hAnsi="Arial Narrow"/>
          <w:sz w:val="22"/>
        </w:rPr>
        <w:t>Esta interpretação tem apoio nos artigos 8.º, n.º 4, e 27.º, n.º 3, al. b) e c), da Constituição e 5.º, n.º 1, al. c) e f), da Convenção Europeia dos Direitos do Homem</w:t>
      </w:r>
      <w:r>
        <w:rPr>
          <w:rFonts w:ascii="Arial Narrow" w:hAnsi="Arial Narrow"/>
          <w:sz w:val="22"/>
        </w:rPr>
        <w:t xml:space="preserve"> que </w:t>
      </w:r>
      <w:r w:rsidRPr="00423537">
        <w:rPr>
          <w:rFonts w:ascii="Arial Narrow" w:hAnsi="Arial Narrow"/>
          <w:sz w:val="22"/>
        </w:rPr>
        <w:t>estabelecem uma distinção de regimes entre a privação da liberdade para entrega a um Estado estrangeiro e a privação da liberdade anterior a decisão condenatória transitada (prisão preventiva) decidida em processo pendente perante tribunal português.</w:t>
      </w:r>
    </w:p>
    <w:p w:rsidR="0005127D" w:rsidRPr="00633245" w:rsidRDefault="0005127D" w:rsidP="00BF723E">
      <w:pPr>
        <w:numPr>
          <w:ilvl w:val="0"/>
          <w:numId w:val="32"/>
        </w:numPr>
        <w:spacing w:before="480"/>
        <w:ind w:left="357" w:hanging="357"/>
        <w:jc w:val="both"/>
        <w:rPr>
          <w:rFonts w:ascii="Arial Narrow" w:hAnsi="Arial Narrow"/>
          <w:b/>
          <w:i/>
        </w:rPr>
      </w:pPr>
      <w:r w:rsidRPr="00633245">
        <w:rPr>
          <w:rFonts w:ascii="Arial Narrow" w:hAnsi="Arial Narrow"/>
          <w:b/>
          <w:i/>
        </w:rPr>
        <w:t>Princípio da especialidade;</w:t>
      </w:r>
      <w:r>
        <w:rPr>
          <w:rFonts w:ascii="Arial Narrow" w:hAnsi="Arial Narrow"/>
          <w:b/>
          <w:i/>
        </w:rPr>
        <w:t xml:space="preserve"> “alargamento” do MDE a novos crimes;</w:t>
      </w:r>
      <w:r w:rsidRPr="00633245">
        <w:rPr>
          <w:rFonts w:ascii="Arial Narrow" w:hAnsi="Arial Narrow"/>
          <w:b/>
          <w:i/>
        </w:rPr>
        <w:t xml:space="preserve"> interpretação do </w:t>
      </w:r>
      <w:r>
        <w:rPr>
          <w:rFonts w:ascii="Arial Narrow" w:hAnsi="Arial Narrow"/>
          <w:b/>
          <w:i/>
        </w:rPr>
        <w:t>artigo</w:t>
      </w:r>
      <w:r w:rsidRPr="00633245">
        <w:rPr>
          <w:rFonts w:ascii="Arial Narrow" w:hAnsi="Arial Narrow"/>
          <w:b/>
          <w:i/>
        </w:rPr>
        <w:t xml:space="preserve"> 7</w:t>
      </w:r>
      <w:r>
        <w:rPr>
          <w:rFonts w:ascii="Arial Narrow" w:hAnsi="Arial Narrow"/>
          <w:b/>
          <w:i/>
        </w:rPr>
        <w:t xml:space="preserve">.º, n.º </w:t>
      </w:r>
      <w:r w:rsidRPr="00633245">
        <w:rPr>
          <w:rFonts w:ascii="Arial Narrow" w:hAnsi="Arial Narrow"/>
          <w:b/>
          <w:i/>
        </w:rPr>
        <w:t>4</w:t>
      </w:r>
      <w:r>
        <w:rPr>
          <w:rFonts w:ascii="Arial Narrow" w:hAnsi="Arial Narrow"/>
          <w:b/>
          <w:i/>
        </w:rPr>
        <w:t>, da Lei n.º 65/2003</w:t>
      </w:r>
    </w:p>
    <w:p w:rsidR="0005127D" w:rsidRPr="00633245" w:rsidRDefault="0005127D" w:rsidP="00BF723E">
      <w:pPr>
        <w:numPr>
          <w:ilvl w:val="1"/>
          <w:numId w:val="34"/>
        </w:numPr>
        <w:spacing w:before="360"/>
        <w:ind w:left="788" w:hanging="431"/>
        <w:jc w:val="both"/>
        <w:rPr>
          <w:rFonts w:ascii="Arial Narrow" w:hAnsi="Arial Narrow"/>
        </w:rPr>
      </w:pPr>
      <w:r w:rsidRPr="00633245">
        <w:rPr>
          <w:rFonts w:ascii="Arial Narrow" w:hAnsi="Arial Narrow"/>
        </w:rPr>
        <w:t xml:space="preserve">O artigo 7.º, n.º 4, da Lei 65/2003 está deficientemente redigido e só pode ser entendido por </w:t>
      </w:r>
      <w:r>
        <w:rPr>
          <w:rFonts w:ascii="Arial Narrow" w:hAnsi="Arial Narrow"/>
        </w:rPr>
        <w:t>recurso</w:t>
      </w:r>
      <w:r w:rsidRPr="00633245">
        <w:rPr>
          <w:rFonts w:ascii="Arial Narrow" w:hAnsi="Arial Narrow"/>
        </w:rPr>
        <w:t xml:space="preserve"> </w:t>
      </w:r>
      <w:r>
        <w:rPr>
          <w:rFonts w:ascii="Arial Narrow" w:hAnsi="Arial Narrow"/>
        </w:rPr>
        <w:t>ao</w:t>
      </w:r>
      <w:r w:rsidRPr="00633245">
        <w:rPr>
          <w:rFonts w:ascii="Arial Narrow" w:hAnsi="Arial Narrow"/>
        </w:rPr>
        <w:t xml:space="preserve"> artigo 27.º da Decisão-Quadro </w:t>
      </w:r>
      <w:r>
        <w:rPr>
          <w:rFonts w:ascii="Arial Narrow" w:hAnsi="Arial Narrow"/>
        </w:rPr>
        <w:t>relativa ao</w:t>
      </w:r>
      <w:r w:rsidRPr="00633245">
        <w:rPr>
          <w:rFonts w:ascii="Arial Narrow" w:hAnsi="Arial Narrow"/>
        </w:rPr>
        <w:t xml:space="preserve"> MDE</w:t>
      </w:r>
      <w:r>
        <w:rPr>
          <w:rFonts w:ascii="Arial Narrow" w:hAnsi="Arial Narrow"/>
        </w:rPr>
        <w:t>,</w:t>
      </w:r>
      <w:r w:rsidRPr="00633245">
        <w:rPr>
          <w:rFonts w:ascii="Arial Narrow" w:hAnsi="Arial Narrow"/>
        </w:rPr>
        <w:t xml:space="preserve"> que </w:t>
      </w:r>
      <w:r>
        <w:rPr>
          <w:rFonts w:ascii="Arial Narrow" w:hAnsi="Arial Narrow"/>
        </w:rPr>
        <w:t xml:space="preserve">aquela disposição </w:t>
      </w:r>
      <w:r w:rsidRPr="00633245">
        <w:rPr>
          <w:rFonts w:ascii="Arial Narrow" w:hAnsi="Arial Narrow"/>
        </w:rPr>
        <w:t>transpõe para o direito nacional.</w:t>
      </w:r>
    </w:p>
    <w:p w:rsidR="0005127D" w:rsidRPr="00633245" w:rsidRDefault="0005127D" w:rsidP="00BF723E">
      <w:pPr>
        <w:numPr>
          <w:ilvl w:val="1"/>
          <w:numId w:val="35"/>
        </w:numPr>
        <w:spacing w:before="240"/>
        <w:ind w:left="788" w:hanging="431"/>
        <w:jc w:val="both"/>
        <w:rPr>
          <w:rFonts w:ascii="Arial Narrow" w:hAnsi="Arial Narrow"/>
        </w:rPr>
      </w:pPr>
      <w:r>
        <w:rPr>
          <w:rFonts w:ascii="Arial Narrow" w:hAnsi="Arial Narrow"/>
        </w:rPr>
        <w:t>Assim, o</w:t>
      </w:r>
      <w:r w:rsidRPr="00633245">
        <w:rPr>
          <w:rFonts w:ascii="Arial Narrow" w:hAnsi="Arial Narrow"/>
        </w:rPr>
        <w:t xml:space="preserve"> artigo 7.º, n.º 4, com referência ao n.º 2, al. g), deve ser lido e interpretado correctivamente, nos seguintes termos:</w:t>
      </w:r>
    </w:p>
    <w:p w:rsidR="0005127D" w:rsidRPr="00633245" w:rsidRDefault="0005127D" w:rsidP="00913D5B">
      <w:pPr>
        <w:numPr>
          <w:ilvl w:val="0"/>
          <w:numId w:val="15"/>
        </w:numPr>
        <w:spacing w:before="120"/>
        <w:jc w:val="both"/>
        <w:rPr>
          <w:rFonts w:ascii="Arial Narrow" w:hAnsi="Arial Narrow"/>
        </w:rPr>
      </w:pPr>
      <w:r w:rsidRPr="00633245">
        <w:rPr>
          <w:rFonts w:ascii="Arial Narrow" w:hAnsi="Arial Narrow"/>
        </w:rPr>
        <w:t>A pessoa entregue que não tenha renunciado ao benefício da regra da especialidade deixará de beneficiar desta quando, após a entrega, a autoridade judiciária de execução que ordenou a entrega (Tribunal da Relação) d</w:t>
      </w:r>
      <w:r>
        <w:rPr>
          <w:rFonts w:ascii="Arial Narrow" w:hAnsi="Arial Narrow"/>
        </w:rPr>
        <w:t>er</w:t>
      </w:r>
      <w:r w:rsidRPr="00633245">
        <w:rPr>
          <w:rFonts w:ascii="Arial Narrow" w:hAnsi="Arial Narrow"/>
        </w:rPr>
        <w:t xml:space="preserve"> o seu consentimento </w:t>
      </w:r>
      <w:r>
        <w:rPr>
          <w:rFonts w:ascii="Arial Narrow" w:hAnsi="Arial Narrow"/>
        </w:rPr>
        <w:t>para que a pessoa entregue possa ser sujeita a procedimento criminal, condenada ou privada da liberdade no Estado de emissão por uma infracção praticada em momento anterior à sua entrega e diferente daquela que motivou a emissão do MDE;</w:t>
      </w:r>
    </w:p>
    <w:p w:rsidR="0005127D" w:rsidRPr="00633245" w:rsidRDefault="0005127D" w:rsidP="00913D5B">
      <w:pPr>
        <w:numPr>
          <w:ilvl w:val="0"/>
          <w:numId w:val="15"/>
        </w:numPr>
        <w:spacing w:before="120"/>
        <w:jc w:val="both"/>
        <w:rPr>
          <w:rFonts w:ascii="Arial Narrow" w:hAnsi="Arial Narrow"/>
        </w:rPr>
      </w:pPr>
      <w:r w:rsidRPr="00633245">
        <w:rPr>
          <w:rFonts w:ascii="Arial Narrow" w:hAnsi="Arial Narrow"/>
        </w:rPr>
        <w:t xml:space="preserve">O pedido de consentimento é apresentado à autoridade judiciária de execução </w:t>
      </w:r>
      <w:r>
        <w:rPr>
          <w:rFonts w:ascii="Arial Narrow" w:hAnsi="Arial Narrow"/>
        </w:rPr>
        <w:t>(</w:t>
      </w:r>
      <w:r w:rsidRPr="00633245">
        <w:rPr>
          <w:rFonts w:ascii="Arial Narrow" w:hAnsi="Arial Narrow"/>
        </w:rPr>
        <w:t>Tribunal da Relação), acompanhado das informações referidas no n.º 1 do artigo 3.º (conteúdo do MDE) e de uma tradução conforme indicado no n.º 2 do mesmo artigo 3.º (tradução do MDE)</w:t>
      </w:r>
      <w:r>
        <w:rPr>
          <w:rFonts w:ascii="Arial Narrow" w:hAnsi="Arial Narrow"/>
        </w:rPr>
        <w:t>, o que, na prática, se traduz na emissão de um novo MDE visando o consentimento;</w:t>
      </w:r>
    </w:p>
    <w:p w:rsidR="0005127D" w:rsidRPr="00633245" w:rsidRDefault="0005127D" w:rsidP="00913D5B">
      <w:pPr>
        <w:numPr>
          <w:ilvl w:val="0"/>
          <w:numId w:val="15"/>
        </w:numPr>
        <w:spacing w:before="120"/>
        <w:jc w:val="both"/>
        <w:rPr>
          <w:rFonts w:ascii="Arial Narrow" w:hAnsi="Arial Narrow"/>
        </w:rPr>
      </w:pPr>
      <w:r w:rsidRPr="00633245">
        <w:rPr>
          <w:rFonts w:ascii="Arial Narrow" w:hAnsi="Arial Narrow"/>
        </w:rPr>
        <w:t xml:space="preserve">O consentimento da autoridade de execução (Tribunal da Relação) deve ser dado sempre que a infracção para a qual é solicitado dê ela própria lugar a entrega em conformidade com o disposto na Lei </w:t>
      </w:r>
      <w:r>
        <w:rPr>
          <w:rFonts w:ascii="Arial Narrow" w:hAnsi="Arial Narrow"/>
        </w:rPr>
        <w:t xml:space="preserve">n.º </w:t>
      </w:r>
      <w:r w:rsidRPr="00633245">
        <w:rPr>
          <w:rFonts w:ascii="Arial Narrow" w:hAnsi="Arial Narrow"/>
        </w:rPr>
        <w:t xml:space="preserve">65/2003 e da Decisão-Quadro </w:t>
      </w:r>
      <w:r>
        <w:rPr>
          <w:rFonts w:ascii="Arial Narrow" w:hAnsi="Arial Narrow"/>
        </w:rPr>
        <w:t>relativa ao</w:t>
      </w:r>
      <w:r w:rsidRPr="00633245">
        <w:rPr>
          <w:rFonts w:ascii="Arial Narrow" w:hAnsi="Arial Narrow"/>
        </w:rPr>
        <w:t xml:space="preserve"> MDE</w:t>
      </w:r>
      <w:r>
        <w:rPr>
          <w:rFonts w:ascii="Arial Narrow" w:hAnsi="Arial Narrow"/>
        </w:rPr>
        <w:t>, limitando-se aos factos que constam do pedido de consentimento (novo MDE);</w:t>
      </w:r>
    </w:p>
    <w:p w:rsidR="0005127D" w:rsidRDefault="0005127D" w:rsidP="00913D5B">
      <w:pPr>
        <w:numPr>
          <w:ilvl w:val="0"/>
          <w:numId w:val="15"/>
        </w:numPr>
        <w:spacing w:before="120"/>
        <w:jc w:val="both"/>
        <w:rPr>
          <w:rFonts w:ascii="Arial Narrow" w:hAnsi="Arial Narrow"/>
        </w:rPr>
      </w:pPr>
      <w:r w:rsidRPr="00633245">
        <w:rPr>
          <w:rFonts w:ascii="Arial Narrow" w:hAnsi="Arial Narrow"/>
        </w:rPr>
        <w:t>O consentimento deve ser recusado pelos motivos referidos no artigo 11.º (causas de recusa obrigatória), podendo ainda ser recusado pelos motivos referidos no artigo 12.º (causas de recusa facultativa)</w:t>
      </w:r>
      <w:r>
        <w:rPr>
          <w:rFonts w:ascii="Arial Narrow" w:hAnsi="Arial Narrow"/>
        </w:rPr>
        <w:t>;</w:t>
      </w:r>
    </w:p>
    <w:p w:rsidR="0005127D" w:rsidRPr="00633245" w:rsidRDefault="0005127D" w:rsidP="00913D5B">
      <w:pPr>
        <w:numPr>
          <w:ilvl w:val="0"/>
          <w:numId w:val="15"/>
        </w:numPr>
        <w:spacing w:before="120"/>
        <w:jc w:val="both"/>
        <w:rPr>
          <w:rFonts w:ascii="Arial Narrow" w:hAnsi="Arial Narrow"/>
        </w:rPr>
      </w:pPr>
      <w:r w:rsidRPr="00633245">
        <w:rPr>
          <w:rFonts w:ascii="Arial Narrow" w:hAnsi="Arial Narrow"/>
        </w:rPr>
        <w:t>A decisão da autoridade de execução (Tribunal da Relação) deve ser tomada no prazo máximo de 30 dias a contar da data de recepção do pedido</w:t>
      </w:r>
      <w:r>
        <w:rPr>
          <w:rFonts w:ascii="Arial Narrow" w:hAnsi="Arial Narrow"/>
        </w:rPr>
        <w:t>;</w:t>
      </w:r>
    </w:p>
    <w:p w:rsidR="0005127D" w:rsidRPr="00711970" w:rsidRDefault="0005127D" w:rsidP="00913D5B">
      <w:pPr>
        <w:numPr>
          <w:ilvl w:val="0"/>
          <w:numId w:val="15"/>
        </w:numPr>
        <w:spacing w:before="120"/>
        <w:jc w:val="both"/>
        <w:rPr>
          <w:rFonts w:ascii="Arial Narrow" w:hAnsi="Arial Narrow"/>
        </w:rPr>
      </w:pPr>
      <w:r w:rsidRPr="00633245">
        <w:rPr>
          <w:rFonts w:ascii="Arial Narrow" w:hAnsi="Arial Narrow"/>
        </w:rPr>
        <w:t>Em relação às situações referidas no artigo 13.º (julgamento na ausência, pena ou medida de segurança com carácter perpétuo e nacionalidade ou residência), o Estado-Membro de emissão</w:t>
      </w:r>
      <w:r>
        <w:rPr>
          <w:rFonts w:ascii="Arial Narrow" w:hAnsi="Arial Narrow"/>
        </w:rPr>
        <w:t>, que faz o pedido de consentimento,</w:t>
      </w:r>
      <w:r w:rsidRPr="00633245">
        <w:rPr>
          <w:rFonts w:ascii="Arial Narrow" w:hAnsi="Arial Narrow"/>
        </w:rPr>
        <w:t xml:space="preserve"> deve dar as garantias aí previstas.</w:t>
      </w:r>
    </w:p>
    <w:p w:rsidR="0005127D" w:rsidRDefault="0005127D" w:rsidP="00E8016E">
      <w:pPr>
        <w:numPr>
          <w:ilvl w:val="1"/>
          <w:numId w:val="16"/>
        </w:numPr>
        <w:spacing w:before="240"/>
        <w:ind w:left="788" w:hanging="431"/>
        <w:jc w:val="both"/>
        <w:rPr>
          <w:rFonts w:ascii="Arial Narrow" w:hAnsi="Arial Narrow"/>
        </w:rPr>
      </w:pPr>
      <w:r>
        <w:rPr>
          <w:rFonts w:ascii="Arial Narrow" w:hAnsi="Arial Narrow"/>
        </w:rPr>
        <w:t>A pessoa entregue deve ter a possibilidade de se pronunciar sobre o pedido de consentimento e de se opor à prestação do consentimento com fundamento em motivo de recusa obrigatória ou facultativa, como se da execução de um novo MDE se tratasse (artigo 21.º da Lei 65/2003).</w:t>
      </w:r>
    </w:p>
    <w:p w:rsidR="0005127D" w:rsidRPr="00711970" w:rsidRDefault="0005127D" w:rsidP="00913D5B">
      <w:pPr>
        <w:spacing w:before="120"/>
        <w:ind w:left="1224"/>
        <w:jc w:val="both"/>
        <w:rPr>
          <w:rFonts w:ascii="Arial Narrow" w:hAnsi="Arial Narrow"/>
        </w:rPr>
      </w:pPr>
      <w:r w:rsidRPr="00CE0129">
        <w:rPr>
          <w:rFonts w:ascii="Arial Narrow" w:hAnsi="Arial Narrow"/>
          <w:sz w:val="22"/>
        </w:rPr>
        <w:t xml:space="preserve">Para </w:t>
      </w:r>
      <w:r>
        <w:rPr>
          <w:rFonts w:ascii="Arial Narrow" w:hAnsi="Arial Narrow"/>
          <w:sz w:val="22"/>
        </w:rPr>
        <w:t xml:space="preserve">o </w:t>
      </w:r>
      <w:r w:rsidRPr="00CE0129">
        <w:rPr>
          <w:rFonts w:ascii="Arial Narrow" w:hAnsi="Arial Narrow"/>
          <w:sz w:val="22"/>
        </w:rPr>
        <w:t>efeito</w:t>
      </w:r>
      <w:r>
        <w:rPr>
          <w:rFonts w:ascii="Arial Narrow" w:hAnsi="Arial Narrow"/>
          <w:sz w:val="22"/>
        </w:rPr>
        <w:t>, no sentido de ser garantido o exercício do direito de defesa,</w:t>
      </w:r>
      <w:r w:rsidRPr="00CE0129">
        <w:rPr>
          <w:rFonts w:ascii="Arial Narrow" w:hAnsi="Arial Narrow"/>
          <w:sz w:val="22"/>
        </w:rPr>
        <w:t xml:space="preserve"> </w:t>
      </w:r>
      <w:r>
        <w:rPr>
          <w:rFonts w:ascii="Arial Narrow" w:hAnsi="Arial Narrow"/>
          <w:sz w:val="22"/>
        </w:rPr>
        <w:t>apesar de não haver norma expressa neste sentido, há que suprir a lacuna através da</w:t>
      </w:r>
      <w:r w:rsidRPr="00CE0129">
        <w:rPr>
          <w:rFonts w:ascii="Arial Narrow" w:hAnsi="Arial Narrow"/>
          <w:sz w:val="22"/>
        </w:rPr>
        <w:t xml:space="preserve"> emissão de pedido de cooperação</w:t>
      </w:r>
      <w:r>
        <w:rPr>
          <w:rFonts w:ascii="Arial Narrow" w:hAnsi="Arial Narrow"/>
          <w:sz w:val="22"/>
        </w:rPr>
        <w:t xml:space="preserve"> judiciária</w:t>
      </w:r>
      <w:r w:rsidRPr="00CE0129">
        <w:rPr>
          <w:rFonts w:ascii="Arial Narrow" w:hAnsi="Arial Narrow"/>
          <w:sz w:val="22"/>
        </w:rPr>
        <w:t xml:space="preserve">, com carácter de urgência, dirigido às autoridades do Estado de emissão, solicitando-se a notificação </w:t>
      </w:r>
      <w:r>
        <w:rPr>
          <w:rFonts w:ascii="Arial Narrow" w:hAnsi="Arial Narrow"/>
          <w:sz w:val="22"/>
        </w:rPr>
        <w:t xml:space="preserve">da pessoa procurada </w:t>
      </w:r>
      <w:r w:rsidRPr="00CE0129">
        <w:rPr>
          <w:rFonts w:ascii="Arial Narrow" w:hAnsi="Arial Narrow"/>
          <w:sz w:val="22"/>
        </w:rPr>
        <w:t>por entrega de documento que contenha informação sobre o pedido do Estado de emissão e sobre a possibilidade de deduzir oposição e respectivos fundamentos, nos termos do artigo 7.º da Convenção Europeia de Auxílio Judiciário Mútuo (1959, Conselho da Europa) e do artigo 6.º da Convenção de Auxílio Judiciário Mútuo entre os Estados Membros da União Europeia (2000).</w:t>
      </w:r>
    </w:p>
    <w:p w:rsidR="0005127D" w:rsidRPr="00633245" w:rsidRDefault="0005127D" w:rsidP="00BF723E">
      <w:pPr>
        <w:numPr>
          <w:ilvl w:val="0"/>
          <w:numId w:val="32"/>
        </w:numPr>
        <w:spacing w:before="480"/>
        <w:ind w:left="357" w:hanging="357"/>
        <w:jc w:val="both"/>
        <w:rPr>
          <w:rFonts w:ascii="Arial Narrow" w:hAnsi="Arial Narrow"/>
          <w:b/>
          <w:i/>
        </w:rPr>
      </w:pPr>
      <w:r w:rsidRPr="00633245">
        <w:rPr>
          <w:rFonts w:ascii="Arial Narrow" w:hAnsi="Arial Narrow"/>
          <w:b/>
          <w:i/>
        </w:rPr>
        <w:t xml:space="preserve">Motivos de não execução com base em procedimento pendente ou condenação pelos mesmos factos; prestação e obtenção de informações; entrega condicional e diferida; transferência temporária – </w:t>
      </w:r>
      <w:r>
        <w:rPr>
          <w:rFonts w:ascii="Arial Narrow" w:hAnsi="Arial Narrow"/>
          <w:b/>
          <w:i/>
        </w:rPr>
        <w:t>artigo</w:t>
      </w:r>
      <w:r w:rsidRPr="00633245">
        <w:rPr>
          <w:rFonts w:ascii="Arial Narrow" w:hAnsi="Arial Narrow"/>
          <w:b/>
          <w:i/>
        </w:rPr>
        <w:t xml:space="preserve"> 6</w:t>
      </w:r>
      <w:r>
        <w:rPr>
          <w:rFonts w:ascii="Arial Narrow" w:hAnsi="Arial Narrow"/>
          <w:b/>
          <w:i/>
        </w:rPr>
        <w:t>.º</w:t>
      </w:r>
      <w:r w:rsidRPr="00633245">
        <w:rPr>
          <w:rFonts w:ascii="Arial Narrow" w:hAnsi="Arial Narrow"/>
          <w:b/>
          <w:i/>
        </w:rPr>
        <w:t>, 11</w:t>
      </w:r>
      <w:r>
        <w:rPr>
          <w:rFonts w:ascii="Arial Narrow" w:hAnsi="Arial Narrow"/>
          <w:b/>
          <w:i/>
        </w:rPr>
        <w:t xml:space="preserve">.º, al. </w:t>
      </w:r>
      <w:r w:rsidRPr="00633245">
        <w:rPr>
          <w:rFonts w:ascii="Arial Narrow" w:hAnsi="Arial Narrow"/>
          <w:b/>
          <w:i/>
        </w:rPr>
        <w:t>b), 12</w:t>
      </w:r>
      <w:r>
        <w:rPr>
          <w:rFonts w:ascii="Arial Narrow" w:hAnsi="Arial Narrow"/>
          <w:b/>
          <w:i/>
        </w:rPr>
        <w:t xml:space="preserve">.º, n.º </w:t>
      </w:r>
      <w:r w:rsidRPr="00633245">
        <w:rPr>
          <w:rFonts w:ascii="Arial Narrow" w:hAnsi="Arial Narrow"/>
          <w:b/>
          <w:i/>
        </w:rPr>
        <w:t>1</w:t>
      </w:r>
      <w:r>
        <w:rPr>
          <w:rFonts w:ascii="Arial Narrow" w:hAnsi="Arial Narrow"/>
          <w:b/>
          <w:i/>
        </w:rPr>
        <w:t>, al</w:t>
      </w:r>
      <w:r w:rsidRPr="00633245">
        <w:rPr>
          <w:rFonts w:ascii="Arial Narrow" w:hAnsi="Arial Narrow"/>
          <w:b/>
          <w:i/>
        </w:rPr>
        <w:t>.</w:t>
      </w:r>
      <w:r>
        <w:rPr>
          <w:rFonts w:ascii="Arial Narrow" w:hAnsi="Arial Narrow"/>
          <w:b/>
          <w:i/>
        </w:rPr>
        <w:t xml:space="preserve"> </w:t>
      </w:r>
      <w:r w:rsidRPr="00633245">
        <w:rPr>
          <w:rFonts w:ascii="Arial Narrow" w:hAnsi="Arial Narrow"/>
          <w:b/>
          <w:i/>
        </w:rPr>
        <w:t>b</w:t>
      </w:r>
      <w:r>
        <w:rPr>
          <w:rFonts w:ascii="Arial Narrow" w:hAnsi="Arial Narrow"/>
          <w:b/>
          <w:i/>
        </w:rPr>
        <w:t xml:space="preserve">), </w:t>
      </w:r>
      <w:r w:rsidRPr="00633245">
        <w:rPr>
          <w:rFonts w:ascii="Arial Narrow" w:hAnsi="Arial Narrow"/>
          <w:b/>
          <w:i/>
        </w:rPr>
        <w:t>c</w:t>
      </w:r>
      <w:r>
        <w:rPr>
          <w:rFonts w:ascii="Arial Narrow" w:hAnsi="Arial Narrow"/>
          <w:b/>
          <w:i/>
        </w:rPr>
        <w:t xml:space="preserve">), </w:t>
      </w:r>
      <w:r w:rsidRPr="00633245">
        <w:rPr>
          <w:rFonts w:ascii="Arial Narrow" w:hAnsi="Arial Narrow"/>
          <w:b/>
          <w:i/>
        </w:rPr>
        <w:t>d</w:t>
      </w:r>
      <w:r>
        <w:rPr>
          <w:rFonts w:ascii="Arial Narrow" w:hAnsi="Arial Narrow"/>
          <w:b/>
          <w:i/>
        </w:rPr>
        <w:t xml:space="preserve">), </w:t>
      </w:r>
      <w:r w:rsidRPr="00633245">
        <w:rPr>
          <w:rFonts w:ascii="Arial Narrow" w:hAnsi="Arial Narrow"/>
          <w:b/>
          <w:i/>
        </w:rPr>
        <w:t>f</w:t>
      </w:r>
      <w:r>
        <w:rPr>
          <w:rFonts w:ascii="Arial Narrow" w:hAnsi="Arial Narrow"/>
          <w:b/>
          <w:i/>
        </w:rPr>
        <w:t xml:space="preserve">) e </w:t>
      </w:r>
      <w:r w:rsidRPr="00633245">
        <w:rPr>
          <w:rFonts w:ascii="Arial Narrow" w:hAnsi="Arial Narrow"/>
          <w:b/>
          <w:i/>
        </w:rPr>
        <w:t>h</w:t>
      </w:r>
      <w:r>
        <w:rPr>
          <w:rFonts w:ascii="Arial Narrow" w:hAnsi="Arial Narrow"/>
          <w:b/>
          <w:i/>
        </w:rPr>
        <w:t xml:space="preserve">) </w:t>
      </w:r>
      <w:r w:rsidRPr="00633245">
        <w:rPr>
          <w:rFonts w:ascii="Arial Narrow" w:hAnsi="Arial Narrow"/>
          <w:b/>
          <w:i/>
        </w:rPr>
        <w:t xml:space="preserve"> e 31</w:t>
      </w:r>
      <w:r>
        <w:rPr>
          <w:rFonts w:ascii="Arial Narrow" w:hAnsi="Arial Narrow"/>
          <w:b/>
          <w:i/>
        </w:rPr>
        <w:t>.º da Lei n.º 65/2003</w:t>
      </w:r>
    </w:p>
    <w:p w:rsidR="0005127D" w:rsidRPr="00633245" w:rsidRDefault="0005127D" w:rsidP="00BF723E">
      <w:pPr>
        <w:numPr>
          <w:ilvl w:val="1"/>
          <w:numId w:val="36"/>
        </w:numPr>
        <w:spacing w:before="360"/>
        <w:ind w:left="788" w:hanging="431"/>
        <w:jc w:val="both"/>
        <w:rPr>
          <w:rFonts w:ascii="Arial Narrow" w:hAnsi="Arial Narrow"/>
        </w:rPr>
      </w:pPr>
      <w:r>
        <w:rPr>
          <w:rFonts w:ascii="Arial Narrow" w:hAnsi="Arial Narrow"/>
        </w:rPr>
        <w:t xml:space="preserve">Nestes casos, </w:t>
      </w:r>
      <w:r w:rsidRPr="00633245">
        <w:rPr>
          <w:rFonts w:ascii="Arial Narrow" w:hAnsi="Arial Narrow"/>
        </w:rPr>
        <w:t>deverão</w:t>
      </w:r>
      <w:r>
        <w:rPr>
          <w:rFonts w:ascii="Arial Narrow" w:hAnsi="Arial Narrow"/>
        </w:rPr>
        <w:t>, em particular,</w:t>
      </w:r>
      <w:r w:rsidRPr="00633245">
        <w:rPr>
          <w:rFonts w:ascii="Arial Narrow" w:hAnsi="Arial Narrow"/>
        </w:rPr>
        <w:t xml:space="preserve"> ter-se em conta processos pendentes em Portugal contra a pessoa procurada, devendo deles obter-se, de imediato, os elementos relevantes para que a execução do MDE ocorra em harmonia com as regras de boa coordenação de procedimentos e investigações entre as autoridades de diferentes Estados, designadamente nos casos de criminalidade transnacional que determinem a instauração de processos paralelos, conexos ou complementares.</w:t>
      </w:r>
    </w:p>
    <w:p w:rsidR="0005127D" w:rsidRPr="00391AFD" w:rsidRDefault="0005127D" w:rsidP="00913D5B">
      <w:pPr>
        <w:spacing w:before="120"/>
        <w:ind w:left="1224"/>
        <w:jc w:val="both"/>
        <w:rPr>
          <w:rFonts w:ascii="Arial Narrow" w:hAnsi="Arial Narrow"/>
          <w:sz w:val="22"/>
        </w:rPr>
      </w:pPr>
      <w:r w:rsidRPr="00391AFD">
        <w:rPr>
          <w:rFonts w:ascii="Arial Narrow" w:hAnsi="Arial Narrow"/>
          <w:sz w:val="22"/>
        </w:rPr>
        <w:t>Deverão, nest</w:t>
      </w:r>
      <w:r>
        <w:rPr>
          <w:rFonts w:ascii="Arial Narrow" w:hAnsi="Arial Narrow"/>
          <w:sz w:val="22"/>
        </w:rPr>
        <w:t>as situações</w:t>
      </w:r>
      <w:r w:rsidRPr="00391AFD">
        <w:rPr>
          <w:rFonts w:ascii="Arial Narrow" w:hAnsi="Arial Narrow"/>
          <w:sz w:val="22"/>
        </w:rPr>
        <w:t xml:space="preserve">, prevenir-se decisões que possam fazer atrasar ou prejudicar investigações e processos noutros Estados, </w:t>
      </w:r>
      <w:r>
        <w:rPr>
          <w:rFonts w:ascii="Arial Narrow" w:hAnsi="Arial Narrow"/>
          <w:sz w:val="22"/>
        </w:rPr>
        <w:t>o que implica que sejam</w:t>
      </w:r>
      <w:r w:rsidRPr="00391AFD">
        <w:rPr>
          <w:rFonts w:ascii="Arial Narrow" w:hAnsi="Arial Narrow"/>
          <w:sz w:val="22"/>
        </w:rPr>
        <w:t xml:space="preserve"> sempre analisadas as hipóteses de entrega temporária </w:t>
      </w:r>
      <w:r>
        <w:rPr>
          <w:rFonts w:ascii="Arial Narrow" w:hAnsi="Arial Narrow"/>
          <w:sz w:val="22"/>
        </w:rPr>
        <w:t xml:space="preserve">(condicional) </w:t>
      </w:r>
      <w:r w:rsidRPr="00391AFD">
        <w:rPr>
          <w:rFonts w:ascii="Arial Narrow" w:hAnsi="Arial Narrow"/>
          <w:sz w:val="22"/>
        </w:rPr>
        <w:t xml:space="preserve">para efeitos de procedimento criminal. </w:t>
      </w:r>
    </w:p>
    <w:p w:rsidR="0005127D" w:rsidRPr="00633245" w:rsidRDefault="0005127D" w:rsidP="00BF723E">
      <w:pPr>
        <w:numPr>
          <w:ilvl w:val="1"/>
          <w:numId w:val="36"/>
        </w:numPr>
        <w:spacing w:before="240"/>
        <w:ind w:left="788" w:hanging="431"/>
        <w:jc w:val="both"/>
        <w:rPr>
          <w:rFonts w:ascii="Arial Narrow" w:hAnsi="Arial Narrow"/>
        </w:rPr>
      </w:pPr>
      <w:r w:rsidRPr="00633245">
        <w:rPr>
          <w:rFonts w:ascii="Arial Narrow" w:hAnsi="Arial Narrow"/>
        </w:rPr>
        <w:t xml:space="preserve">Havendo investigações e processos relacionados com actividades criminosas transnacionais, em particular em casos de criminalidade organizada transfronteiriça, </w:t>
      </w:r>
      <w:r>
        <w:rPr>
          <w:rFonts w:ascii="Arial Narrow" w:hAnsi="Arial Narrow"/>
        </w:rPr>
        <w:t xml:space="preserve">da competência da </w:t>
      </w:r>
      <w:r w:rsidRPr="005742AD">
        <w:rPr>
          <w:rFonts w:ascii="Arial Narrow" w:hAnsi="Arial Narrow"/>
          <w:smallCaps/>
        </w:rPr>
        <w:t>Eurojust</w:t>
      </w:r>
      <w:r>
        <w:rPr>
          <w:rFonts w:ascii="Arial Narrow" w:hAnsi="Arial Narrow"/>
        </w:rPr>
        <w:t xml:space="preserve">, </w:t>
      </w:r>
      <w:r w:rsidRPr="00633245">
        <w:rPr>
          <w:rFonts w:ascii="Arial Narrow" w:hAnsi="Arial Narrow"/>
        </w:rPr>
        <w:t xml:space="preserve">poderá e deverá, sempre que necessário, solicitar-se o apoio do Membro Nacional da </w:t>
      </w:r>
      <w:r w:rsidRPr="005742AD">
        <w:rPr>
          <w:rFonts w:ascii="Arial Narrow" w:hAnsi="Arial Narrow"/>
          <w:smallCaps/>
        </w:rPr>
        <w:t>Eurojust</w:t>
      </w:r>
      <w:r w:rsidRPr="00633245">
        <w:rPr>
          <w:rFonts w:ascii="Arial Narrow" w:hAnsi="Arial Narrow"/>
        </w:rPr>
        <w:t xml:space="preserve"> no sentido de se obter a melhor coordenação possível com as autoridades dos demais Estados envolvidos</w:t>
      </w:r>
      <w:r>
        <w:rPr>
          <w:rFonts w:ascii="Arial Narrow" w:hAnsi="Arial Narrow"/>
        </w:rPr>
        <w:t xml:space="preserve"> (cfr. a Decisão do C</w:t>
      </w:r>
      <w:r w:rsidRPr="0084227E">
        <w:rPr>
          <w:rFonts w:ascii="Arial Narrow" w:hAnsi="Arial Narrow"/>
        </w:rPr>
        <w:t>onselho da União Europeia</w:t>
      </w:r>
      <w:r>
        <w:rPr>
          <w:rFonts w:ascii="Arial Narrow" w:hAnsi="Arial Narrow"/>
        </w:rPr>
        <w:t xml:space="preserve"> </w:t>
      </w:r>
      <w:r w:rsidRPr="0084227E">
        <w:rPr>
          <w:rFonts w:ascii="Arial Narrow" w:hAnsi="Arial Narrow"/>
        </w:rPr>
        <w:t>2002/187/JAI, de 28 de Fevereiro</w:t>
      </w:r>
      <w:r>
        <w:rPr>
          <w:rFonts w:ascii="Arial Narrow" w:hAnsi="Arial Narrow"/>
        </w:rPr>
        <w:t>, e a Lei n.º 36/2003, de 22 de Agosto)</w:t>
      </w:r>
      <w:r w:rsidRPr="00633245">
        <w:rPr>
          <w:rFonts w:ascii="Arial Narrow" w:hAnsi="Arial Narrow"/>
        </w:rPr>
        <w:t>.</w:t>
      </w:r>
    </w:p>
    <w:p w:rsidR="0005127D" w:rsidRPr="00633245" w:rsidRDefault="0005127D" w:rsidP="00BF723E">
      <w:pPr>
        <w:numPr>
          <w:ilvl w:val="1"/>
          <w:numId w:val="36"/>
        </w:numPr>
        <w:spacing w:before="240"/>
        <w:ind w:left="788" w:hanging="431"/>
        <w:jc w:val="both"/>
        <w:rPr>
          <w:rFonts w:ascii="Arial Narrow" w:hAnsi="Arial Narrow"/>
        </w:rPr>
      </w:pPr>
      <w:r w:rsidRPr="00633245">
        <w:rPr>
          <w:rFonts w:ascii="Arial Narrow" w:hAnsi="Arial Narrow"/>
        </w:rPr>
        <w:t xml:space="preserve">Tratando-se de MDE para </w:t>
      </w:r>
      <w:r>
        <w:rPr>
          <w:rFonts w:ascii="Arial Narrow" w:hAnsi="Arial Narrow"/>
        </w:rPr>
        <w:t xml:space="preserve">efeitos de </w:t>
      </w:r>
      <w:r w:rsidRPr="00633245">
        <w:rPr>
          <w:rFonts w:ascii="Arial Narrow" w:hAnsi="Arial Narrow"/>
        </w:rPr>
        <w:t>procedimento criminal, sempre que estejam em causa os mesmos factos</w:t>
      </w:r>
      <w:r>
        <w:rPr>
          <w:rFonts w:ascii="Arial Narrow" w:hAnsi="Arial Narrow"/>
        </w:rPr>
        <w:t xml:space="preserve">, </w:t>
      </w:r>
      <w:r w:rsidRPr="00633245">
        <w:rPr>
          <w:rFonts w:ascii="Arial Narrow" w:hAnsi="Arial Narrow"/>
        </w:rPr>
        <w:t>factos conexos ou fazendo parte da mesma actividade criminosa, deverão apreciar-se eventuais ca</w:t>
      </w:r>
      <w:r>
        <w:rPr>
          <w:rFonts w:ascii="Arial Narrow" w:hAnsi="Arial Narrow"/>
        </w:rPr>
        <w:t>usas</w:t>
      </w:r>
      <w:r w:rsidRPr="00633245">
        <w:rPr>
          <w:rFonts w:ascii="Arial Narrow" w:hAnsi="Arial Narrow"/>
        </w:rPr>
        <w:t xml:space="preserve"> de recusa </w:t>
      </w:r>
      <w:r>
        <w:rPr>
          <w:rFonts w:ascii="Arial Narrow" w:hAnsi="Arial Narrow"/>
        </w:rPr>
        <w:t>(artigos 11.º e 12.º da Lei 65/2003) e equacionar-se a possibilidade d</w:t>
      </w:r>
      <w:r w:rsidRPr="00633245">
        <w:rPr>
          <w:rFonts w:ascii="Arial Narrow" w:hAnsi="Arial Narrow"/>
        </w:rPr>
        <w:t>e entrega temporária</w:t>
      </w:r>
      <w:r>
        <w:rPr>
          <w:rFonts w:ascii="Arial Narrow" w:hAnsi="Arial Narrow"/>
        </w:rPr>
        <w:t xml:space="preserve"> (artigo 31.º da Lei 65/2003),</w:t>
      </w:r>
      <w:r w:rsidRPr="00633245">
        <w:rPr>
          <w:rFonts w:ascii="Arial Narrow" w:hAnsi="Arial Narrow"/>
        </w:rPr>
        <w:t xml:space="preserve"> em coordenação com as autoridades competentes</w:t>
      </w:r>
      <w:r>
        <w:rPr>
          <w:rFonts w:ascii="Arial Narrow" w:hAnsi="Arial Narrow"/>
        </w:rPr>
        <w:t>,</w:t>
      </w:r>
      <w:r w:rsidRPr="00633245">
        <w:rPr>
          <w:rFonts w:ascii="Arial Narrow" w:hAnsi="Arial Narrow"/>
        </w:rPr>
        <w:t xml:space="preserve"> para </w:t>
      </w:r>
      <w:r>
        <w:rPr>
          <w:rFonts w:ascii="Arial Narrow" w:hAnsi="Arial Narrow"/>
        </w:rPr>
        <w:t xml:space="preserve">se </w:t>
      </w:r>
      <w:r w:rsidRPr="00633245">
        <w:rPr>
          <w:rFonts w:ascii="Arial Narrow" w:hAnsi="Arial Narrow"/>
        </w:rPr>
        <w:t xml:space="preserve">prevenirem conflitos de jurisdição e para determinação do melhor lugar para a perseguição penal, </w:t>
      </w:r>
      <w:r>
        <w:rPr>
          <w:rFonts w:ascii="Arial Narrow" w:hAnsi="Arial Narrow"/>
        </w:rPr>
        <w:t xml:space="preserve">de acordo com as regras de competência internacional, </w:t>
      </w:r>
      <w:r w:rsidRPr="00633245">
        <w:rPr>
          <w:rFonts w:ascii="Arial Narrow" w:hAnsi="Arial Narrow"/>
        </w:rPr>
        <w:t>com o apoio da Eurojust.</w:t>
      </w:r>
    </w:p>
    <w:p w:rsidR="0005127D" w:rsidRPr="00633245" w:rsidRDefault="0005127D" w:rsidP="00BF723E">
      <w:pPr>
        <w:numPr>
          <w:ilvl w:val="1"/>
          <w:numId w:val="36"/>
        </w:numPr>
        <w:spacing w:before="240"/>
        <w:ind w:left="788" w:hanging="431"/>
        <w:jc w:val="both"/>
        <w:rPr>
          <w:rFonts w:ascii="Arial Narrow" w:hAnsi="Arial Narrow"/>
        </w:rPr>
      </w:pPr>
      <w:r w:rsidRPr="00633245">
        <w:rPr>
          <w:rFonts w:ascii="Arial Narrow" w:hAnsi="Arial Narrow"/>
        </w:rPr>
        <w:t xml:space="preserve">O artigo 6.º da Lei </w:t>
      </w:r>
      <w:r>
        <w:rPr>
          <w:rFonts w:ascii="Arial Narrow" w:hAnsi="Arial Narrow"/>
        </w:rPr>
        <w:t xml:space="preserve">n.º </w:t>
      </w:r>
      <w:r w:rsidRPr="00633245">
        <w:rPr>
          <w:rFonts w:ascii="Arial Narrow" w:hAnsi="Arial Narrow"/>
        </w:rPr>
        <w:t xml:space="preserve">65/2003, de redacção pouco clara, deve ser lido </w:t>
      </w:r>
      <w:r>
        <w:rPr>
          <w:rFonts w:ascii="Arial Narrow" w:hAnsi="Arial Narrow"/>
        </w:rPr>
        <w:t xml:space="preserve">e interpretado </w:t>
      </w:r>
      <w:r w:rsidRPr="00633245">
        <w:rPr>
          <w:rFonts w:ascii="Arial Narrow" w:hAnsi="Arial Narrow"/>
        </w:rPr>
        <w:t xml:space="preserve">em conformidade com os artigos 18.º e 19.º da Decisão-Quadro do MDE. </w:t>
      </w:r>
      <w:r>
        <w:rPr>
          <w:rFonts w:ascii="Arial Narrow" w:hAnsi="Arial Narrow"/>
        </w:rPr>
        <w:t>Assim:</w:t>
      </w:r>
    </w:p>
    <w:p w:rsidR="0005127D" w:rsidRPr="00633245" w:rsidRDefault="0005127D" w:rsidP="00913D5B">
      <w:pPr>
        <w:numPr>
          <w:ilvl w:val="0"/>
          <w:numId w:val="17"/>
        </w:numPr>
        <w:spacing w:before="120"/>
        <w:jc w:val="both"/>
        <w:rPr>
          <w:rFonts w:ascii="Arial Narrow" w:hAnsi="Arial Narrow"/>
        </w:rPr>
      </w:pPr>
      <w:r w:rsidRPr="00633245">
        <w:rPr>
          <w:rFonts w:ascii="Arial Narrow" w:hAnsi="Arial Narrow"/>
        </w:rPr>
        <w:t xml:space="preserve">O n.º 1 do artigo 6.º transpõe o n.º 1 do artigo 18.º da Decisão-Quadro </w:t>
      </w:r>
      <w:r>
        <w:rPr>
          <w:rFonts w:ascii="Arial Narrow" w:hAnsi="Arial Narrow"/>
        </w:rPr>
        <w:t>relativa ao</w:t>
      </w:r>
      <w:r w:rsidRPr="00633245">
        <w:rPr>
          <w:rFonts w:ascii="Arial Narrow" w:hAnsi="Arial Narrow"/>
        </w:rPr>
        <w:t xml:space="preserve"> MDE e deve ser lido como contendo uma previsão alternativa</w:t>
      </w:r>
      <w:r>
        <w:rPr>
          <w:rFonts w:ascii="Arial Narrow" w:hAnsi="Arial Narrow"/>
        </w:rPr>
        <w:t>;</w:t>
      </w:r>
      <w:r w:rsidRPr="00633245">
        <w:rPr>
          <w:rFonts w:ascii="Arial Narrow" w:hAnsi="Arial Narrow"/>
        </w:rPr>
        <w:t xml:space="preserve"> </w:t>
      </w:r>
    </w:p>
    <w:p w:rsidR="0005127D" w:rsidRPr="00633245" w:rsidRDefault="0005127D" w:rsidP="00913D5B">
      <w:pPr>
        <w:numPr>
          <w:ilvl w:val="0"/>
          <w:numId w:val="17"/>
        </w:numPr>
        <w:spacing w:before="120"/>
        <w:jc w:val="both"/>
        <w:rPr>
          <w:rFonts w:ascii="Arial Narrow" w:hAnsi="Arial Narrow"/>
        </w:rPr>
      </w:pPr>
      <w:r w:rsidRPr="00633245">
        <w:rPr>
          <w:rFonts w:ascii="Arial Narrow" w:hAnsi="Arial Narrow"/>
        </w:rPr>
        <w:t>A audição referida na al. a) do n.º 1 do artigo 6.º é a audição a que se referem os n.ºs 3, 4 e 5</w:t>
      </w:r>
      <w:r>
        <w:rPr>
          <w:rFonts w:ascii="Arial Narrow" w:hAnsi="Arial Narrow"/>
        </w:rPr>
        <w:t>;</w:t>
      </w:r>
    </w:p>
    <w:p w:rsidR="0005127D" w:rsidRPr="00E77EBD" w:rsidRDefault="0005127D" w:rsidP="00913D5B">
      <w:pPr>
        <w:numPr>
          <w:ilvl w:val="0"/>
          <w:numId w:val="17"/>
        </w:numPr>
        <w:spacing w:before="120"/>
        <w:jc w:val="both"/>
        <w:rPr>
          <w:rFonts w:ascii="Arial Narrow" w:hAnsi="Arial Narrow"/>
        </w:rPr>
      </w:pPr>
      <w:r w:rsidRPr="00633245">
        <w:rPr>
          <w:rFonts w:ascii="Arial Narrow" w:hAnsi="Arial Narrow"/>
        </w:rPr>
        <w:t xml:space="preserve">O n.º 2 do artigo 6.º transpõe o n.º 2 do artigo 18.º </w:t>
      </w:r>
      <w:r>
        <w:rPr>
          <w:rFonts w:ascii="Arial Narrow" w:hAnsi="Arial Narrow"/>
        </w:rPr>
        <w:t xml:space="preserve">e o n.º 2 do artigo 19.º, segunda parte, </w:t>
      </w:r>
      <w:r w:rsidRPr="00633245">
        <w:rPr>
          <w:rFonts w:ascii="Arial Narrow" w:hAnsi="Arial Narrow"/>
        </w:rPr>
        <w:t>da Decisão-Quadro do MDE</w:t>
      </w:r>
      <w:r>
        <w:rPr>
          <w:rFonts w:ascii="Arial Narrow" w:hAnsi="Arial Narrow"/>
        </w:rPr>
        <w:t>;</w:t>
      </w:r>
      <w:r w:rsidRPr="00633245">
        <w:rPr>
          <w:rFonts w:ascii="Arial Narrow" w:hAnsi="Arial Narrow"/>
        </w:rPr>
        <w:t xml:space="preserve"> </w:t>
      </w:r>
    </w:p>
    <w:p w:rsidR="0005127D" w:rsidRPr="00E77EBD" w:rsidRDefault="0005127D" w:rsidP="00913D5B">
      <w:pPr>
        <w:numPr>
          <w:ilvl w:val="0"/>
          <w:numId w:val="17"/>
        </w:numPr>
        <w:spacing w:before="120"/>
        <w:jc w:val="both"/>
        <w:rPr>
          <w:rFonts w:ascii="Arial Narrow" w:hAnsi="Arial Narrow"/>
        </w:rPr>
      </w:pPr>
      <w:r w:rsidRPr="00E77EBD">
        <w:rPr>
          <w:rFonts w:ascii="Arial Narrow" w:hAnsi="Arial Narrow"/>
        </w:rPr>
        <w:t>Os n.ºs 3, 4 e 5 do artigo 6.º transpõem o artigo 19.º da Decisão-Quadro</w:t>
      </w:r>
      <w:r>
        <w:rPr>
          <w:rFonts w:ascii="Arial Narrow" w:hAnsi="Arial Narrow"/>
        </w:rPr>
        <w:t xml:space="preserve"> do MDE</w:t>
      </w:r>
      <w:r w:rsidRPr="00E77EBD">
        <w:rPr>
          <w:rFonts w:ascii="Arial Narrow" w:hAnsi="Arial Narrow"/>
        </w:rPr>
        <w:t>, sem alterações</w:t>
      </w:r>
      <w:r>
        <w:rPr>
          <w:rFonts w:ascii="Arial Narrow" w:hAnsi="Arial Narrow"/>
        </w:rPr>
        <w:t>;</w:t>
      </w:r>
    </w:p>
    <w:p w:rsidR="0005127D" w:rsidRPr="00E77EBD" w:rsidRDefault="0005127D" w:rsidP="00913D5B">
      <w:pPr>
        <w:numPr>
          <w:ilvl w:val="0"/>
          <w:numId w:val="17"/>
        </w:numPr>
        <w:spacing w:before="120"/>
        <w:jc w:val="both"/>
        <w:rPr>
          <w:rFonts w:ascii="Arial Narrow" w:hAnsi="Arial Narrow"/>
        </w:rPr>
      </w:pPr>
      <w:r w:rsidRPr="00E77EBD">
        <w:rPr>
          <w:rFonts w:ascii="Arial Narrow" w:hAnsi="Arial Narrow"/>
        </w:rPr>
        <w:t>O n.º 5 do artigo 6.º contém um erro d</w:t>
      </w:r>
      <w:r w:rsidRPr="00633245">
        <w:rPr>
          <w:rFonts w:ascii="Arial Narrow" w:hAnsi="Arial Narrow"/>
        </w:rPr>
        <w:t>e escrita</w:t>
      </w:r>
      <w:r>
        <w:rPr>
          <w:rFonts w:ascii="Arial Narrow" w:hAnsi="Arial Narrow"/>
        </w:rPr>
        <w:t>, pelo que, o</w:t>
      </w:r>
      <w:r w:rsidRPr="00E77EBD">
        <w:rPr>
          <w:rFonts w:ascii="Arial Narrow" w:hAnsi="Arial Narrow"/>
        </w:rPr>
        <w:t>nde se lê que “a autoridade de execução pode designar uma outra autoridade judiciária de emissão” deve ler-se que “a autoridade judiciária de execução pode designar uma outra autoridade judiciária de execução”</w:t>
      </w:r>
      <w:r>
        <w:rPr>
          <w:rFonts w:ascii="Arial Narrow" w:hAnsi="Arial Narrow"/>
        </w:rPr>
        <w:t>;</w:t>
      </w:r>
    </w:p>
    <w:p w:rsidR="0005127D" w:rsidRPr="002E7576" w:rsidRDefault="0005127D" w:rsidP="00913D5B">
      <w:pPr>
        <w:numPr>
          <w:ilvl w:val="0"/>
          <w:numId w:val="17"/>
        </w:numPr>
        <w:spacing w:before="120"/>
        <w:jc w:val="both"/>
        <w:rPr>
          <w:rFonts w:ascii="Arial Narrow" w:hAnsi="Arial Narrow"/>
        </w:rPr>
      </w:pPr>
      <w:r w:rsidRPr="00E77EBD">
        <w:rPr>
          <w:rFonts w:ascii="Arial Narrow" w:hAnsi="Arial Narrow"/>
        </w:rPr>
        <w:t>O n.º 6 do artigo 6.º transpõe o artigo 18.º, n.º 3, da Decisão-Q</w:t>
      </w:r>
      <w:r w:rsidRPr="00633245">
        <w:rPr>
          <w:rFonts w:ascii="Arial Narrow" w:hAnsi="Arial Narrow"/>
        </w:rPr>
        <w:t>uadro do MDE, sem alterações.</w:t>
      </w:r>
    </w:p>
    <w:p w:rsidR="0005127D" w:rsidRPr="00633245" w:rsidRDefault="0005127D" w:rsidP="00BF723E">
      <w:pPr>
        <w:numPr>
          <w:ilvl w:val="0"/>
          <w:numId w:val="36"/>
        </w:numPr>
        <w:spacing w:before="480"/>
        <w:ind w:left="357" w:hanging="357"/>
        <w:jc w:val="both"/>
        <w:rPr>
          <w:rFonts w:ascii="Arial Narrow" w:hAnsi="Arial Narrow"/>
          <w:b/>
          <w:i/>
        </w:rPr>
      </w:pPr>
      <w:r w:rsidRPr="00633245">
        <w:rPr>
          <w:rFonts w:ascii="Arial Narrow" w:hAnsi="Arial Narrow"/>
          <w:b/>
          <w:i/>
        </w:rPr>
        <w:t xml:space="preserve">Motivo de recusa de execução com base na residência – </w:t>
      </w:r>
      <w:r>
        <w:rPr>
          <w:rFonts w:ascii="Arial Narrow" w:hAnsi="Arial Narrow"/>
          <w:b/>
          <w:i/>
        </w:rPr>
        <w:t>artigo</w:t>
      </w:r>
      <w:r w:rsidRPr="00633245">
        <w:rPr>
          <w:rFonts w:ascii="Arial Narrow" w:hAnsi="Arial Narrow"/>
          <w:b/>
          <w:i/>
        </w:rPr>
        <w:t xml:space="preserve"> 12</w:t>
      </w:r>
      <w:r>
        <w:rPr>
          <w:rFonts w:ascii="Arial Narrow" w:hAnsi="Arial Narrow"/>
          <w:b/>
          <w:i/>
        </w:rPr>
        <w:t xml:space="preserve">.º, n.º </w:t>
      </w:r>
      <w:r w:rsidRPr="00633245">
        <w:rPr>
          <w:rFonts w:ascii="Arial Narrow" w:hAnsi="Arial Narrow"/>
          <w:b/>
          <w:i/>
        </w:rPr>
        <w:t>1</w:t>
      </w:r>
      <w:r>
        <w:rPr>
          <w:rFonts w:ascii="Arial Narrow" w:hAnsi="Arial Narrow"/>
          <w:b/>
          <w:i/>
        </w:rPr>
        <w:t xml:space="preserve">, al. </w:t>
      </w:r>
      <w:r w:rsidRPr="00633245">
        <w:rPr>
          <w:rFonts w:ascii="Arial Narrow" w:hAnsi="Arial Narrow"/>
          <w:b/>
          <w:i/>
        </w:rPr>
        <w:t>g</w:t>
      </w:r>
      <w:r>
        <w:rPr>
          <w:rFonts w:ascii="Arial Narrow" w:hAnsi="Arial Narrow"/>
          <w:b/>
          <w:i/>
        </w:rPr>
        <w:t>) da Lei n.º 65/2003</w:t>
      </w:r>
    </w:p>
    <w:p w:rsidR="0005127D" w:rsidRPr="00633245" w:rsidRDefault="0005127D" w:rsidP="00BF723E">
      <w:pPr>
        <w:numPr>
          <w:ilvl w:val="1"/>
          <w:numId w:val="36"/>
        </w:numPr>
        <w:spacing w:before="360"/>
        <w:ind w:left="788" w:hanging="431"/>
        <w:jc w:val="both"/>
        <w:rPr>
          <w:rFonts w:ascii="Arial Narrow" w:hAnsi="Arial Narrow"/>
        </w:rPr>
      </w:pPr>
      <w:r w:rsidRPr="00633245">
        <w:rPr>
          <w:rFonts w:ascii="Arial Narrow" w:hAnsi="Arial Narrow"/>
        </w:rPr>
        <w:t>A residência é equiparada à nacionalidade para efeitos de recusa.</w:t>
      </w:r>
    </w:p>
    <w:p w:rsidR="0005127D" w:rsidRPr="00633245" w:rsidRDefault="0005127D" w:rsidP="00BF723E">
      <w:pPr>
        <w:numPr>
          <w:ilvl w:val="1"/>
          <w:numId w:val="36"/>
        </w:numPr>
        <w:spacing w:before="240"/>
        <w:ind w:left="788" w:hanging="431"/>
        <w:jc w:val="both"/>
        <w:rPr>
          <w:rFonts w:ascii="Arial Narrow" w:hAnsi="Arial Narrow"/>
        </w:rPr>
      </w:pPr>
      <w:r w:rsidRPr="00633245">
        <w:rPr>
          <w:rFonts w:ascii="Arial Narrow" w:hAnsi="Arial Narrow"/>
        </w:rPr>
        <w:t>O Tribunal de Justiça da União Europeia proferiu várias decisões sobre a interpretação do conceito de “residente”</w:t>
      </w:r>
      <w:r>
        <w:rPr>
          <w:rFonts w:ascii="Arial Narrow" w:hAnsi="Arial Narrow"/>
        </w:rPr>
        <w:t xml:space="preserve"> c</w:t>
      </w:r>
      <w:r w:rsidRPr="00633245">
        <w:rPr>
          <w:rFonts w:ascii="Arial Narrow" w:hAnsi="Arial Narrow"/>
        </w:rPr>
        <w:t xml:space="preserve">onstante do artigo 4.º, n.º 6, da Decisão-Quadro sobre o MDE transposta pelo artigo 12.º, n.º 1, al. g), da Lei 65/2003 – cfr., nomeadamente, os acórdãos de 5.9.2012 (caso </w:t>
      </w:r>
      <w:r w:rsidRPr="00633245">
        <w:rPr>
          <w:rFonts w:ascii="Arial Narrow" w:hAnsi="Arial Narrow"/>
          <w:i/>
        </w:rPr>
        <w:t>Silva Jorge</w:t>
      </w:r>
      <w:r w:rsidRPr="00633245">
        <w:rPr>
          <w:rFonts w:ascii="Arial Narrow" w:hAnsi="Arial Narrow"/>
        </w:rPr>
        <w:t xml:space="preserve">, Proc. C-42/11), 6.10.2009 (caso </w:t>
      </w:r>
      <w:r w:rsidRPr="00633245">
        <w:rPr>
          <w:rFonts w:ascii="Arial Narrow" w:hAnsi="Arial Narrow"/>
          <w:i/>
        </w:rPr>
        <w:t>Wolzenburg</w:t>
      </w:r>
      <w:r w:rsidRPr="00633245">
        <w:rPr>
          <w:rFonts w:ascii="Arial Narrow" w:hAnsi="Arial Narrow"/>
        </w:rPr>
        <w:t xml:space="preserve">, Proc. C-123/08) e 3.5.2007 (caso </w:t>
      </w:r>
      <w:r w:rsidRPr="00633245">
        <w:rPr>
          <w:rFonts w:ascii="Arial Narrow" w:hAnsi="Arial Narrow"/>
          <w:i/>
        </w:rPr>
        <w:t>Advocaten voor de Wereld,</w:t>
      </w:r>
      <w:r w:rsidRPr="00633245">
        <w:rPr>
          <w:rFonts w:ascii="Arial Narrow" w:hAnsi="Arial Narrow"/>
        </w:rPr>
        <w:t xml:space="preserve"> Proc. C-303/05</w:t>
      </w:r>
      <w:r>
        <w:rPr>
          <w:rFonts w:ascii="Arial Narrow" w:hAnsi="Arial Narrow"/>
        </w:rPr>
        <w:t>).</w:t>
      </w:r>
    </w:p>
    <w:p w:rsidR="0005127D" w:rsidRPr="00A56C1A" w:rsidRDefault="0005127D" w:rsidP="00913D5B">
      <w:pPr>
        <w:spacing w:before="120"/>
        <w:ind w:left="1224"/>
        <w:jc w:val="both"/>
        <w:rPr>
          <w:rFonts w:ascii="Arial Narrow" w:hAnsi="Arial Narrow"/>
          <w:sz w:val="22"/>
        </w:rPr>
      </w:pPr>
      <w:r w:rsidRPr="00A56C1A">
        <w:rPr>
          <w:rFonts w:ascii="Arial Narrow" w:hAnsi="Arial Narrow"/>
          <w:sz w:val="22"/>
        </w:rPr>
        <w:t xml:space="preserve">As decisões do Tribunal de Justiça da UE sobre interpretação da Decisão-Quadro são vinculativas para os órgãos jurisdicionais dos Estados-Membros, devendo os órgãos jurisdicionais nacionais respeitar o princípio de interpretação conforme aos Tratados e à legislação secundária aprovada com base nos Tratados – cfr., nomeadamente, os acórdãos de 5.9.2012 (caso </w:t>
      </w:r>
      <w:r w:rsidRPr="00A56C1A">
        <w:rPr>
          <w:rFonts w:ascii="Arial Narrow" w:hAnsi="Arial Narrow"/>
          <w:i/>
          <w:sz w:val="22"/>
        </w:rPr>
        <w:t>Silva Jorge</w:t>
      </w:r>
      <w:r w:rsidRPr="00A56C1A">
        <w:rPr>
          <w:rFonts w:ascii="Arial Narrow" w:hAnsi="Arial Narrow"/>
          <w:sz w:val="22"/>
        </w:rPr>
        <w:t xml:space="preserve">, Proc. C-42/11), </w:t>
      </w:r>
      <w:r>
        <w:rPr>
          <w:rFonts w:ascii="Arial Narrow" w:hAnsi="Arial Narrow"/>
          <w:sz w:val="22"/>
        </w:rPr>
        <w:t xml:space="preserve">de </w:t>
      </w:r>
      <w:r w:rsidRPr="00A56C1A">
        <w:rPr>
          <w:rFonts w:ascii="Arial Narrow" w:hAnsi="Arial Narrow"/>
          <w:sz w:val="22"/>
        </w:rPr>
        <w:t xml:space="preserve">17.7.2008 (caso </w:t>
      </w:r>
      <w:r w:rsidRPr="00A56C1A">
        <w:rPr>
          <w:rFonts w:ascii="Arial Narrow" w:hAnsi="Arial Narrow"/>
          <w:i/>
          <w:sz w:val="22"/>
        </w:rPr>
        <w:t>Kozlowski,</w:t>
      </w:r>
      <w:r w:rsidRPr="00A56C1A">
        <w:rPr>
          <w:rFonts w:ascii="Arial Narrow" w:hAnsi="Arial Narrow"/>
          <w:sz w:val="22"/>
        </w:rPr>
        <w:t xml:space="preserve"> Proc. C-66/08) e </w:t>
      </w:r>
      <w:r>
        <w:rPr>
          <w:rFonts w:ascii="Arial Narrow" w:hAnsi="Arial Narrow"/>
          <w:sz w:val="22"/>
        </w:rPr>
        <w:t xml:space="preserve">de </w:t>
      </w:r>
      <w:r w:rsidRPr="00A56C1A">
        <w:rPr>
          <w:rFonts w:ascii="Arial Narrow" w:hAnsi="Arial Narrow"/>
          <w:sz w:val="22"/>
        </w:rPr>
        <w:t xml:space="preserve">16.6.2005 (caso </w:t>
      </w:r>
      <w:r w:rsidRPr="00A56C1A">
        <w:rPr>
          <w:rFonts w:ascii="Arial Narrow" w:hAnsi="Arial Narrow"/>
          <w:i/>
          <w:sz w:val="22"/>
        </w:rPr>
        <w:t>Pupino</w:t>
      </w:r>
      <w:r w:rsidRPr="00A56C1A">
        <w:rPr>
          <w:rFonts w:ascii="Arial Narrow" w:hAnsi="Arial Narrow"/>
          <w:sz w:val="22"/>
        </w:rPr>
        <w:t>, Proc. C-105/03).</w:t>
      </w:r>
    </w:p>
    <w:p w:rsidR="0005127D" w:rsidRPr="00633245" w:rsidRDefault="0005127D" w:rsidP="00BF723E">
      <w:pPr>
        <w:numPr>
          <w:ilvl w:val="1"/>
          <w:numId w:val="36"/>
        </w:numPr>
        <w:spacing w:before="240"/>
        <w:ind w:left="788" w:hanging="431"/>
        <w:jc w:val="both"/>
        <w:rPr>
          <w:rFonts w:ascii="Arial Narrow" w:hAnsi="Arial Narrow"/>
        </w:rPr>
      </w:pPr>
      <w:r w:rsidRPr="00633245">
        <w:rPr>
          <w:rFonts w:ascii="Arial Narrow" w:hAnsi="Arial Narrow"/>
        </w:rPr>
        <w:t>O Tribunal de Justiça sublinha, nomeadamente, os seguintes aspectos:</w:t>
      </w:r>
    </w:p>
    <w:p w:rsidR="0005127D" w:rsidRPr="00633245" w:rsidRDefault="0005127D" w:rsidP="00913D5B">
      <w:pPr>
        <w:numPr>
          <w:ilvl w:val="0"/>
          <w:numId w:val="18"/>
        </w:numPr>
        <w:spacing w:before="120"/>
        <w:jc w:val="both"/>
        <w:rPr>
          <w:rFonts w:ascii="Arial Narrow" w:hAnsi="Arial Narrow"/>
        </w:rPr>
      </w:pPr>
      <w:r w:rsidRPr="00633245">
        <w:rPr>
          <w:rFonts w:ascii="Arial Narrow" w:hAnsi="Arial Narrow"/>
        </w:rPr>
        <w:t>Ao darem execução ao n.º 6 do artigo 4.º da Decisão-Quadro sobre o MDE, os Estados-Membros gozam de “uma margem de apreciação clara”</w:t>
      </w:r>
      <w:r>
        <w:rPr>
          <w:rFonts w:ascii="Arial Narrow" w:hAnsi="Arial Narrow"/>
        </w:rPr>
        <w:t>;</w:t>
      </w:r>
    </w:p>
    <w:p w:rsidR="0005127D" w:rsidRPr="00633245" w:rsidRDefault="0005127D" w:rsidP="00913D5B">
      <w:pPr>
        <w:numPr>
          <w:ilvl w:val="0"/>
          <w:numId w:val="18"/>
        </w:numPr>
        <w:spacing w:before="120"/>
        <w:jc w:val="both"/>
        <w:rPr>
          <w:rFonts w:ascii="Arial Narrow" w:hAnsi="Arial Narrow"/>
        </w:rPr>
      </w:pPr>
      <w:r w:rsidRPr="00633245">
        <w:rPr>
          <w:rFonts w:ascii="Arial Narrow" w:hAnsi="Arial Narrow"/>
        </w:rPr>
        <w:t>O motivo de não execução com base na residência tem, designadamente, por objectivo permitir à autoridade judiciária de execução dar uma especial importância à possibilidade de aumentar as oportunidades de reinserção social da pessoa condenada após o cumprimento da pena</w:t>
      </w:r>
      <w:r>
        <w:rPr>
          <w:rFonts w:ascii="Arial Narrow" w:hAnsi="Arial Narrow"/>
        </w:rPr>
        <w:t>;</w:t>
      </w:r>
    </w:p>
    <w:p w:rsidR="0005127D" w:rsidRPr="00633245" w:rsidRDefault="0005127D" w:rsidP="00913D5B">
      <w:pPr>
        <w:numPr>
          <w:ilvl w:val="0"/>
          <w:numId w:val="18"/>
        </w:numPr>
        <w:spacing w:before="120"/>
        <w:jc w:val="both"/>
        <w:rPr>
          <w:rFonts w:ascii="Arial Narrow" w:hAnsi="Arial Narrow"/>
        </w:rPr>
      </w:pPr>
      <w:r w:rsidRPr="00633245">
        <w:rPr>
          <w:rFonts w:ascii="Arial Narrow" w:hAnsi="Arial Narrow"/>
        </w:rPr>
        <w:t>Compete à autoridade judiciária de execução efectuar uma apreciação global dos elementos objectivos que caracterizam a situação da pessoa procurada – entre os quais, a duração, a natureza e as condições da permanência, bem como os laços familiares e económicos –, a fim de determinar se, numa situação concreta, existe</w:t>
      </w:r>
      <w:r>
        <w:rPr>
          <w:rFonts w:ascii="Arial Narrow" w:hAnsi="Arial Narrow"/>
        </w:rPr>
        <w:t>m</w:t>
      </w:r>
      <w:r w:rsidRPr="00633245">
        <w:rPr>
          <w:rFonts w:ascii="Arial Narrow" w:hAnsi="Arial Narrow"/>
        </w:rPr>
        <w:t xml:space="preserve"> entre a pessoa procurada e o Estado-Membro de execução determinados laços que permitam considerar que esta reside ou se encontra nesse Estado</w:t>
      </w:r>
      <w:r>
        <w:rPr>
          <w:rFonts w:ascii="Arial Narrow" w:hAnsi="Arial Narrow"/>
        </w:rPr>
        <w:t>;</w:t>
      </w:r>
    </w:p>
    <w:p w:rsidR="0005127D" w:rsidRPr="00633245" w:rsidRDefault="0005127D" w:rsidP="00913D5B">
      <w:pPr>
        <w:numPr>
          <w:ilvl w:val="0"/>
          <w:numId w:val="18"/>
        </w:numPr>
        <w:spacing w:before="120"/>
        <w:jc w:val="both"/>
        <w:rPr>
          <w:rFonts w:ascii="Arial Narrow" w:hAnsi="Arial Narrow"/>
        </w:rPr>
      </w:pPr>
      <w:r w:rsidRPr="00633245">
        <w:rPr>
          <w:rFonts w:ascii="Arial Narrow" w:hAnsi="Arial Narrow"/>
        </w:rPr>
        <w:t>Na medida em que a pessoa procurada apresente um grau de integração na sociedade do Estado de execução comparável ao de um nacional, a autoridade judiciária deve poder apreciar se existe um interesse legítimo que justifique que a pena seja executada no Estado de execução</w:t>
      </w:r>
      <w:r>
        <w:rPr>
          <w:rFonts w:ascii="Arial Narrow" w:hAnsi="Arial Narrow"/>
        </w:rPr>
        <w:t>;</w:t>
      </w:r>
    </w:p>
    <w:p w:rsidR="0005127D" w:rsidRPr="00633245" w:rsidRDefault="0005127D" w:rsidP="00913D5B">
      <w:pPr>
        <w:numPr>
          <w:ilvl w:val="0"/>
          <w:numId w:val="18"/>
        </w:numPr>
        <w:spacing w:before="120"/>
        <w:jc w:val="both"/>
        <w:rPr>
          <w:rFonts w:ascii="Arial Narrow" w:hAnsi="Arial Narrow"/>
        </w:rPr>
      </w:pPr>
      <w:r w:rsidRPr="00633245">
        <w:rPr>
          <w:rFonts w:ascii="Arial Narrow" w:hAnsi="Arial Narrow"/>
        </w:rPr>
        <w:t xml:space="preserve">Incumbe à autoridade </w:t>
      </w:r>
      <w:r>
        <w:rPr>
          <w:rFonts w:ascii="Arial Narrow" w:hAnsi="Arial Narrow"/>
        </w:rPr>
        <w:t xml:space="preserve">judiciária </w:t>
      </w:r>
      <w:r w:rsidRPr="00633245">
        <w:rPr>
          <w:rFonts w:ascii="Arial Narrow" w:hAnsi="Arial Narrow"/>
        </w:rPr>
        <w:t>de execução examinar se existem entre a pessoa procurada e o Estado de execução, com base numa apreciação global dos elementos objectivos que caracterizam a situação dessa pessoa, laços suficientes, nomeadamente familiares, económicos e sociais, susceptíveis de demonstrar a sua integração na sociedade desse Estado de forma que se encontre efectivamente numa situação comparável à de um nacional</w:t>
      </w:r>
      <w:r>
        <w:rPr>
          <w:rFonts w:ascii="Arial Narrow" w:hAnsi="Arial Narrow"/>
        </w:rPr>
        <w:t>;</w:t>
      </w:r>
    </w:p>
    <w:p w:rsidR="0005127D" w:rsidRDefault="0005127D" w:rsidP="00913D5B">
      <w:pPr>
        <w:numPr>
          <w:ilvl w:val="0"/>
          <w:numId w:val="18"/>
        </w:numPr>
        <w:spacing w:before="120"/>
        <w:jc w:val="both"/>
        <w:rPr>
          <w:rFonts w:ascii="Arial Narrow" w:hAnsi="Arial Narrow"/>
        </w:rPr>
      </w:pPr>
      <w:r w:rsidRPr="00633245">
        <w:rPr>
          <w:rFonts w:ascii="Arial Narrow" w:hAnsi="Arial Narrow"/>
        </w:rPr>
        <w:t xml:space="preserve">É legítimo que o Estado de execução </w:t>
      </w:r>
      <w:r>
        <w:rPr>
          <w:rFonts w:ascii="Arial Narrow" w:hAnsi="Arial Narrow"/>
        </w:rPr>
        <w:t xml:space="preserve">recuse a entrega com base na residência – dando, assim, </w:t>
      </w:r>
      <w:r w:rsidRPr="00633245">
        <w:rPr>
          <w:rFonts w:ascii="Arial Narrow" w:hAnsi="Arial Narrow"/>
        </w:rPr>
        <w:t xml:space="preserve">especial relevância à possibilidade de aumentar as oportunidades de reinserção social da pessoa procurada </w:t>
      </w:r>
      <w:r>
        <w:rPr>
          <w:rFonts w:ascii="Arial Narrow" w:hAnsi="Arial Narrow"/>
        </w:rPr>
        <w:t xml:space="preserve">– apenas nos casos em que as pessoas </w:t>
      </w:r>
      <w:r w:rsidRPr="00633245">
        <w:rPr>
          <w:rFonts w:ascii="Arial Narrow" w:hAnsi="Arial Narrow"/>
        </w:rPr>
        <w:t>tenham demonstrado um grau de integração real na sociedade</w:t>
      </w:r>
      <w:r>
        <w:rPr>
          <w:rFonts w:ascii="Arial Narrow" w:hAnsi="Arial Narrow"/>
        </w:rPr>
        <w:t>;</w:t>
      </w:r>
    </w:p>
    <w:p w:rsidR="0005127D" w:rsidRPr="00633245" w:rsidRDefault="0005127D" w:rsidP="00913D5B">
      <w:pPr>
        <w:numPr>
          <w:ilvl w:val="0"/>
          <w:numId w:val="18"/>
        </w:numPr>
        <w:spacing w:before="120"/>
        <w:jc w:val="both"/>
        <w:rPr>
          <w:rFonts w:ascii="Arial Narrow" w:hAnsi="Arial Narrow"/>
        </w:rPr>
      </w:pPr>
      <w:r w:rsidRPr="00633245">
        <w:rPr>
          <w:rFonts w:ascii="Arial Narrow" w:hAnsi="Arial Narrow"/>
        </w:rPr>
        <w:t>Os Estados-Membros devem respeitar o artigo 18.º do T</w:t>
      </w:r>
      <w:r>
        <w:rPr>
          <w:rFonts w:ascii="Arial Narrow" w:hAnsi="Arial Narrow"/>
        </w:rPr>
        <w:t xml:space="preserve">ratado sobre o </w:t>
      </w:r>
      <w:r w:rsidRPr="00633245">
        <w:rPr>
          <w:rFonts w:ascii="Arial Narrow" w:hAnsi="Arial Narrow"/>
        </w:rPr>
        <w:t>F</w:t>
      </w:r>
      <w:r>
        <w:rPr>
          <w:rFonts w:ascii="Arial Narrow" w:hAnsi="Arial Narrow"/>
        </w:rPr>
        <w:t xml:space="preserve">uncionamento da </w:t>
      </w:r>
      <w:r w:rsidRPr="00633245">
        <w:rPr>
          <w:rFonts w:ascii="Arial Narrow" w:hAnsi="Arial Narrow"/>
        </w:rPr>
        <w:t>U</w:t>
      </w:r>
      <w:r>
        <w:rPr>
          <w:rFonts w:ascii="Arial Narrow" w:hAnsi="Arial Narrow"/>
        </w:rPr>
        <w:t xml:space="preserve">nião </w:t>
      </w:r>
      <w:r w:rsidRPr="00633245">
        <w:rPr>
          <w:rFonts w:ascii="Arial Narrow" w:hAnsi="Arial Narrow"/>
        </w:rPr>
        <w:t>E</w:t>
      </w:r>
      <w:r>
        <w:rPr>
          <w:rFonts w:ascii="Arial Narrow" w:hAnsi="Arial Narrow"/>
        </w:rPr>
        <w:t>uropeia</w:t>
      </w:r>
      <w:r w:rsidRPr="00633245">
        <w:rPr>
          <w:rFonts w:ascii="Arial Narrow" w:hAnsi="Arial Narrow"/>
        </w:rPr>
        <w:t xml:space="preserve"> segundo o qual, “no âmbito de aplicação dos Tratados, e sem prejuízo das suas disposições especiais, é proibida toda e qualquer discriminação em razão da nacionalidade”.</w:t>
      </w:r>
    </w:p>
    <w:p w:rsidR="0005127D" w:rsidRPr="00AB6625" w:rsidRDefault="0005127D" w:rsidP="00BF723E">
      <w:pPr>
        <w:numPr>
          <w:ilvl w:val="1"/>
          <w:numId w:val="36"/>
        </w:numPr>
        <w:spacing w:before="240"/>
        <w:ind w:left="788" w:hanging="431"/>
        <w:jc w:val="both"/>
        <w:rPr>
          <w:rFonts w:ascii="Arial Narrow" w:hAnsi="Arial Narrow"/>
        </w:rPr>
      </w:pPr>
      <w:r>
        <w:rPr>
          <w:rFonts w:ascii="Arial Narrow" w:hAnsi="Arial Narrow"/>
        </w:rPr>
        <w:t xml:space="preserve">Nos casos em que a recusa se possa fundar na residência, deverá considerar-se, em particular, o disposto no artigo 16.º da Directiva 2004/38 do Parlamento Europeu e do Conselho, </w:t>
      </w:r>
      <w:r w:rsidRPr="00DC579D">
        <w:rPr>
          <w:rFonts w:ascii="Arial Narrow" w:hAnsi="Arial Narrow"/>
        </w:rPr>
        <w:t>de 29 de Abril de 2004</w:t>
      </w:r>
      <w:r>
        <w:rPr>
          <w:rFonts w:ascii="Arial Narrow" w:hAnsi="Arial Narrow"/>
        </w:rPr>
        <w:t xml:space="preserve">, </w:t>
      </w:r>
      <w:r w:rsidRPr="00DC579D">
        <w:rPr>
          <w:rFonts w:ascii="Arial Narrow" w:hAnsi="Arial Narrow"/>
        </w:rPr>
        <w:t xml:space="preserve">relativa ao direito de livre circulação e residência dos </w:t>
      </w:r>
      <w:r w:rsidRPr="00AB6625">
        <w:rPr>
          <w:rFonts w:ascii="Arial Narrow" w:hAnsi="Arial Narrow"/>
        </w:rPr>
        <w:t xml:space="preserve">cidadãos da União e dos membros das suas famílias no território dos Estados-Membros (JO L 143, de 30.4.2004) – artigo 10.º da Lei n.º </w:t>
      </w:r>
      <w:r w:rsidRPr="00AB6625">
        <w:rPr>
          <w:rFonts w:ascii="Arial Narrow" w:hAnsi="Arial Narrow" w:cs="Verdana"/>
          <w:bCs/>
          <w:szCs w:val="22"/>
          <w:lang w:eastAsia="en-US"/>
        </w:rPr>
        <w:t xml:space="preserve">Lei nº 37/2006, de 9 de Agosto, que procede à transposição da Directiva – </w:t>
      </w:r>
      <w:r w:rsidRPr="00AB6625">
        <w:rPr>
          <w:rFonts w:ascii="Arial Narrow" w:hAnsi="Arial Narrow"/>
        </w:rPr>
        <w:t xml:space="preserve">os cidadãos da UE adquirem um direito de residência permanente no território do Estado-Membro de acolhimento quando nele tenham legalmente residido por um período ininterrupto de 5 anos. </w:t>
      </w:r>
    </w:p>
    <w:p w:rsidR="0005127D" w:rsidRPr="0080230A" w:rsidRDefault="0005127D" w:rsidP="00CC477A">
      <w:pPr>
        <w:spacing w:before="120"/>
        <w:ind w:left="1560"/>
        <w:jc w:val="both"/>
        <w:rPr>
          <w:rFonts w:ascii="Arial Narrow" w:hAnsi="Arial Narrow"/>
          <w:sz w:val="22"/>
        </w:rPr>
      </w:pPr>
      <w:r w:rsidRPr="0080230A">
        <w:rPr>
          <w:rFonts w:ascii="Arial Narrow" w:hAnsi="Arial Narrow"/>
          <w:sz w:val="22"/>
        </w:rPr>
        <w:t>Holanda e Áustria estabeleceram como causa de recusa de entrega o requisito de residência ininterrupta por um período de 5 anos, correspondente ao previsto na Directiva para aquisição do direito de residência permanente, tendo o Tribunal considerado não haver violação dos Tratados e da Decisão-Quadro sobre o MDE.</w:t>
      </w:r>
    </w:p>
    <w:p w:rsidR="0005127D" w:rsidRPr="00E036F6" w:rsidRDefault="0005127D" w:rsidP="00BF723E">
      <w:pPr>
        <w:numPr>
          <w:ilvl w:val="1"/>
          <w:numId w:val="36"/>
        </w:numPr>
        <w:spacing w:before="240"/>
        <w:ind w:left="788" w:hanging="431"/>
        <w:jc w:val="both"/>
        <w:rPr>
          <w:rFonts w:ascii="Arial Narrow" w:hAnsi="Arial Narrow"/>
        </w:rPr>
      </w:pPr>
      <w:r w:rsidRPr="00633245">
        <w:rPr>
          <w:rFonts w:ascii="Arial Narrow" w:hAnsi="Arial Narrow"/>
        </w:rPr>
        <w:t>No sentido de que a reintegração do agente na sociedade constitui motivo determinante, cfr., designadamente, o acórdão do STJ de 10.9.2009 (Proc. 134/09.6YREVR).</w:t>
      </w:r>
    </w:p>
    <w:p w:rsidR="0005127D" w:rsidRPr="00633245" w:rsidRDefault="0005127D" w:rsidP="00BF723E">
      <w:pPr>
        <w:numPr>
          <w:ilvl w:val="0"/>
          <w:numId w:val="36"/>
        </w:numPr>
        <w:tabs>
          <w:tab w:val="left" w:pos="567"/>
        </w:tabs>
        <w:spacing w:before="480"/>
        <w:ind w:left="567" w:hanging="567"/>
        <w:jc w:val="both"/>
        <w:rPr>
          <w:rFonts w:ascii="Arial Narrow" w:hAnsi="Arial Narrow"/>
          <w:b/>
          <w:i/>
        </w:rPr>
      </w:pPr>
      <w:r w:rsidRPr="00633245">
        <w:rPr>
          <w:rFonts w:ascii="Arial Narrow" w:hAnsi="Arial Narrow"/>
          <w:b/>
          <w:i/>
        </w:rPr>
        <w:t xml:space="preserve">Garantia em caso de </w:t>
      </w:r>
      <w:r>
        <w:rPr>
          <w:rFonts w:ascii="Arial Narrow" w:hAnsi="Arial Narrow"/>
          <w:b/>
          <w:i/>
        </w:rPr>
        <w:t xml:space="preserve">não conhecimento da data e </w:t>
      </w:r>
      <w:r w:rsidRPr="00633245">
        <w:rPr>
          <w:rFonts w:ascii="Arial Narrow" w:hAnsi="Arial Narrow"/>
          <w:b/>
          <w:i/>
        </w:rPr>
        <w:t>ausência em julgamento – artigo 13</w:t>
      </w:r>
      <w:r>
        <w:rPr>
          <w:rFonts w:ascii="Arial Narrow" w:hAnsi="Arial Narrow"/>
          <w:b/>
          <w:i/>
        </w:rPr>
        <w:t>.º</w:t>
      </w:r>
      <w:r w:rsidRPr="00633245">
        <w:rPr>
          <w:rFonts w:ascii="Arial Narrow" w:hAnsi="Arial Narrow"/>
          <w:b/>
          <w:i/>
        </w:rPr>
        <w:t>, al. a)</w:t>
      </w:r>
      <w:r>
        <w:rPr>
          <w:rFonts w:ascii="Arial Narrow" w:hAnsi="Arial Narrow"/>
          <w:b/>
          <w:i/>
        </w:rPr>
        <w:t>, da</w:t>
      </w:r>
      <w:r w:rsidRPr="00633245">
        <w:rPr>
          <w:rFonts w:ascii="Arial Narrow" w:hAnsi="Arial Narrow"/>
          <w:b/>
          <w:i/>
        </w:rPr>
        <w:t xml:space="preserve"> Lei </w:t>
      </w:r>
      <w:r>
        <w:rPr>
          <w:rFonts w:ascii="Arial Narrow" w:hAnsi="Arial Narrow"/>
          <w:b/>
          <w:i/>
        </w:rPr>
        <w:t xml:space="preserve">n.º </w:t>
      </w:r>
      <w:r w:rsidRPr="00633245">
        <w:rPr>
          <w:rFonts w:ascii="Arial Narrow" w:hAnsi="Arial Narrow"/>
          <w:b/>
          <w:i/>
        </w:rPr>
        <w:t>65/2003 e artigo 2.º da DQ 2009/299/JAI, de 26.2.2009, que altera a DQ do MDE</w:t>
      </w:r>
    </w:p>
    <w:p w:rsidR="0005127D" w:rsidRDefault="0005127D" w:rsidP="00BF723E">
      <w:pPr>
        <w:numPr>
          <w:ilvl w:val="1"/>
          <w:numId w:val="36"/>
        </w:numPr>
        <w:tabs>
          <w:tab w:val="left" w:pos="993"/>
        </w:tabs>
        <w:spacing w:before="360"/>
        <w:ind w:left="992" w:hanging="635"/>
        <w:jc w:val="both"/>
        <w:rPr>
          <w:rFonts w:ascii="Arial Narrow" w:hAnsi="Arial Narrow"/>
        </w:rPr>
      </w:pPr>
      <w:r w:rsidRPr="00633245">
        <w:rPr>
          <w:rFonts w:ascii="Arial Narrow" w:hAnsi="Arial Narrow"/>
        </w:rPr>
        <w:t>O artigo 13.º, al. a), da Lei 65/2003 estabelece a possibilidade de, em caso de aplicação d</w:t>
      </w:r>
      <w:r>
        <w:rPr>
          <w:rFonts w:ascii="Arial Narrow" w:hAnsi="Arial Narrow"/>
        </w:rPr>
        <w:t xml:space="preserve">e uma </w:t>
      </w:r>
      <w:r w:rsidRPr="00633245">
        <w:rPr>
          <w:rFonts w:ascii="Arial Narrow" w:hAnsi="Arial Narrow"/>
        </w:rPr>
        <w:t xml:space="preserve">pena </w:t>
      </w:r>
      <w:r>
        <w:rPr>
          <w:rFonts w:ascii="Arial Narrow" w:hAnsi="Arial Narrow"/>
        </w:rPr>
        <w:t xml:space="preserve">ou medida de segurança a arguido julgado </w:t>
      </w:r>
      <w:r w:rsidRPr="00633245">
        <w:rPr>
          <w:rFonts w:ascii="Arial Narrow" w:hAnsi="Arial Narrow"/>
        </w:rPr>
        <w:t xml:space="preserve">na ausência, </w:t>
      </w:r>
      <w:r>
        <w:rPr>
          <w:rFonts w:ascii="Arial Narrow" w:hAnsi="Arial Narrow"/>
        </w:rPr>
        <w:t xml:space="preserve">sem conhecimento da data de julgamento, </w:t>
      </w:r>
      <w:r w:rsidRPr="00633245">
        <w:rPr>
          <w:rFonts w:ascii="Arial Narrow" w:hAnsi="Arial Narrow"/>
        </w:rPr>
        <w:t xml:space="preserve">ser solicitada ao Estado de emissão a prestação da garantia de que a esta é assegurada a possibilidade de interpor recurso ou de requerer novo julgamento e </w:t>
      </w:r>
      <w:r>
        <w:rPr>
          <w:rFonts w:ascii="Arial Narrow" w:hAnsi="Arial Narrow"/>
        </w:rPr>
        <w:t xml:space="preserve">de nele </w:t>
      </w:r>
      <w:r w:rsidRPr="00633245">
        <w:rPr>
          <w:rFonts w:ascii="Arial Narrow" w:hAnsi="Arial Narrow"/>
        </w:rPr>
        <w:t>estar presente.</w:t>
      </w:r>
    </w:p>
    <w:p w:rsidR="0005127D" w:rsidRDefault="0005127D" w:rsidP="00BF723E">
      <w:pPr>
        <w:numPr>
          <w:ilvl w:val="1"/>
          <w:numId w:val="36"/>
        </w:numPr>
        <w:tabs>
          <w:tab w:val="left" w:pos="993"/>
        </w:tabs>
        <w:spacing w:before="240"/>
        <w:ind w:left="992" w:hanging="635"/>
        <w:jc w:val="both"/>
        <w:rPr>
          <w:rFonts w:ascii="Arial Narrow" w:hAnsi="Arial Narrow"/>
        </w:rPr>
      </w:pPr>
      <w:r w:rsidRPr="00E036F6">
        <w:rPr>
          <w:rFonts w:ascii="Arial Narrow" w:hAnsi="Arial Narrow"/>
        </w:rPr>
        <w:t>A garantia da possibilidade de interpor recurso apenas está consagrada na versão em língua portuguesa da D</w:t>
      </w:r>
      <w:r>
        <w:rPr>
          <w:rFonts w:ascii="Arial Narrow" w:hAnsi="Arial Narrow"/>
        </w:rPr>
        <w:t>ecisão-</w:t>
      </w:r>
      <w:r w:rsidRPr="00E036F6">
        <w:rPr>
          <w:rFonts w:ascii="Arial Narrow" w:hAnsi="Arial Narrow"/>
        </w:rPr>
        <w:t>Q</w:t>
      </w:r>
      <w:r>
        <w:rPr>
          <w:rFonts w:ascii="Arial Narrow" w:hAnsi="Arial Narrow"/>
        </w:rPr>
        <w:t>uadro</w:t>
      </w:r>
      <w:r w:rsidRPr="00E036F6">
        <w:rPr>
          <w:rFonts w:ascii="Arial Narrow" w:hAnsi="Arial Narrow"/>
        </w:rPr>
        <w:t xml:space="preserve"> </w:t>
      </w:r>
      <w:r>
        <w:rPr>
          <w:rFonts w:ascii="Arial Narrow" w:hAnsi="Arial Narrow"/>
        </w:rPr>
        <w:t>relativa</w:t>
      </w:r>
      <w:r w:rsidRPr="00E036F6">
        <w:rPr>
          <w:rFonts w:ascii="Arial Narrow" w:hAnsi="Arial Narrow"/>
        </w:rPr>
        <w:t xml:space="preserve"> MDE; as demais versões linguísticas </w:t>
      </w:r>
      <w:r>
        <w:rPr>
          <w:rFonts w:ascii="Arial Narrow" w:hAnsi="Arial Narrow"/>
        </w:rPr>
        <w:t>só</w:t>
      </w:r>
      <w:r w:rsidRPr="00E036F6">
        <w:rPr>
          <w:rFonts w:ascii="Arial Narrow" w:hAnsi="Arial Narrow"/>
        </w:rPr>
        <w:t xml:space="preserve"> </w:t>
      </w:r>
      <w:r>
        <w:rPr>
          <w:rFonts w:ascii="Arial Narrow" w:hAnsi="Arial Narrow"/>
        </w:rPr>
        <w:t xml:space="preserve">referem </w:t>
      </w:r>
      <w:r w:rsidRPr="00E036F6">
        <w:rPr>
          <w:rFonts w:ascii="Arial Narrow" w:hAnsi="Arial Narrow"/>
        </w:rPr>
        <w:t xml:space="preserve">a garantia de novo julgamento. </w:t>
      </w:r>
    </w:p>
    <w:p w:rsidR="0005127D" w:rsidRPr="00E036F6" w:rsidRDefault="0005127D" w:rsidP="00B35DDD">
      <w:pPr>
        <w:tabs>
          <w:tab w:val="left" w:pos="993"/>
        </w:tabs>
        <w:spacing w:before="120"/>
        <w:ind w:left="1418"/>
        <w:jc w:val="both"/>
        <w:rPr>
          <w:rFonts w:ascii="Arial Narrow" w:hAnsi="Arial Narrow"/>
          <w:sz w:val="22"/>
        </w:rPr>
      </w:pPr>
      <w:r w:rsidRPr="00E036F6">
        <w:rPr>
          <w:rFonts w:ascii="Arial Narrow" w:hAnsi="Arial Narrow"/>
          <w:sz w:val="22"/>
        </w:rPr>
        <w:t>Por esse motivo, o relatório do Conselho da UE sobre a avaliação de Portugal quanto à aplicação do MDE recomendou que fosse diligenciado no sentido da correcção do texto, o que ainda não foi feito.</w:t>
      </w:r>
    </w:p>
    <w:p w:rsidR="0005127D" w:rsidRDefault="0005127D" w:rsidP="00BF723E">
      <w:pPr>
        <w:numPr>
          <w:ilvl w:val="1"/>
          <w:numId w:val="36"/>
        </w:numPr>
        <w:tabs>
          <w:tab w:val="left" w:pos="993"/>
        </w:tabs>
        <w:spacing w:before="240"/>
        <w:ind w:left="992" w:hanging="635"/>
        <w:jc w:val="both"/>
        <w:rPr>
          <w:rFonts w:ascii="Arial Narrow" w:hAnsi="Arial Narrow"/>
        </w:rPr>
      </w:pPr>
      <w:r w:rsidRPr="00633245">
        <w:rPr>
          <w:rFonts w:ascii="Arial Narrow" w:hAnsi="Arial Narrow"/>
        </w:rPr>
        <w:t>A norma não suscita problemas de aplicação em Portugal enquanto Estado de execução, uma vez que tal garantia não está prevista nas restantes versões linguísticas da Decisão-Quadro do MDE</w:t>
      </w:r>
      <w:r>
        <w:rPr>
          <w:rFonts w:ascii="Arial Narrow" w:hAnsi="Arial Narrow"/>
        </w:rPr>
        <w:t xml:space="preserve"> e, consequentemente, nas legislações dos demais Estados-Membros que transpõem esta Decisão-Quadro.</w:t>
      </w:r>
    </w:p>
    <w:p w:rsidR="0005127D" w:rsidRPr="00E036F6" w:rsidRDefault="0005127D" w:rsidP="00B35DDD">
      <w:pPr>
        <w:tabs>
          <w:tab w:val="left" w:pos="900"/>
        </w:tabs>
        <w:spacing w:before="120"/>
        <w:ind w:left="1418"/>
        <w:jc w:val="both"/>
        <w:rPr>
          <w:rFonts w:ascii="Arial Narrow" w:hAnsi="Arial Narrow"/>
          <w:sz w:val="22"/>
        </w:rPr>
      </w:pPr>
      <w:r w:rsidRPr="00E036F6">
        <w:rPr>
          <w:rFonts w:ascii="Arial Narrow" w:hAnsi="Arial Narrow"/>
          <w:sz w:val="22"/>
        </w:rPr>
        <w:t xml:space="preserve">O mesmo não sucede nos casos em que Portugal é o Estado de emissão do MDE pois, como já se verificou, </w:t>
      </w:r>
      <w:r>
        <w:rPr>
          <w:rFonts w:ascii="Arial Narrow" w:hAnsi="Arial Narrow"/>
          <w:sz w:val="22"/>
        </w:rPr>
        <w:t xml:space="preserve">face, designadamente, à revogação do artigo 380.º-A do CPP, </w:t>
      </w:r>
      <w:r w:rsidRPr="00E036F6">
        <w:rPr>
          <w:rFonts w:ascii="Arial Narrow" w:hAnsi="Arial Narrow"/>
          <w:sz w:val="22"/>
        </w:rPr>
        <w:t>a autoridade judiciária portuguesa de emissão não está em condições de prestar a garantia do direito a novo julgamento (artigo 334.º, n.º 7, do CPP). São conhecidos, pelo menos, 2 casos de recusa de entrega a Portugal, pela Holanda e pela Alemanha</w:t>
      </w:r>
      <w:r>
        <w:rPr>
          <w:rFonts w:ascii="Arial Narrow" w:hAnsi="Arial Narrow"/>
          <w:sz w:val="22"/>
        </w:rPr>
        <w:t>, impossibilitando a execução de penas aplicadas pelos tribunais portugueses</w:t>
      </w:r>
      <w:r w:rsidRPr="00E036F6">
        <w:rPr>
          <w:rFonts w:ascii="Arial Narrow" w:hAnsi="Arial Narrow"/>
          <w:sz w:val="22"/>
        </w:rPr>
        <w:t xml:space="preserve">. </w:t>
      </w:r>
    </w:p>
    <w:p w:rsidR="0005127D" w:rsidRDefault="0005127D" w:rsidP="00BF723E">
      <w:pPr>
        <w:numPr>
          <w:ilvl w:val="1"/>
          <w:numId w:val="36"/>
        </w:numPr>
        <w:tabs>
          <w:tab w:val="left" w:pos="993"/>
        </w:tabs>
        <w:spacing w:before="240"/>
        <w:ind w:left="992" w:hanging="635"/>
        <w:jc w:val="both"/>
        <w:rPr>
          <w:rFonts w:ascii="Arial Narrow" w:hAnsi="Arial Narrow"/>
        </w:rPr>
      </w:pPr>
      <w:r w:rsidRPr="00633245">
        <w:rPr>
          <w:rFonts w:ascii="Arial Narrow" w:hAnsi="Arial Narrow"/>
        </w:rPr>
        <w:t>As questões suscitadas pelo artigo 13.º, al. a), da Lei 65/2003 carecem, porém, de revisão à luz do novo artigo 4.º</w:t>
      </w:r>
      <w:r>
        <w:rPr>
          <w:rFonts w:ascii="Arial Narrow" w:hAnsi="Arial Narrow"/>
        </w:rPr>
        <w:t>-</w:t>
      </w:r>
      <w:r w:rsidRPr="00633245">
        <w:rPr>
          <w:rFonts w:ascii="Arial Narrow" w:hAnsi="Arial Narrow"/>
        </w:rPr>
        <w:t xml:space="preserve">A da Decisão-Quadro do MDE, introduzido pelo artigo 2.º da Decisão-Quadro 2009/299/JAI, de 26.2.2009, que revoga ainda o n.º 1 do artigo 5.º Decisão-Quadro do MDE, transposto por aquele artigo 13.º, al. a). </w:t>
      </w:r>
    </w:p>
    <w:p w:rsidR="0005127D" w:rsidRPr="00E036F6" w:rsidRDefault="0005127D" w:rsidP="00B35DDD">
      <w:pPr>
        <w:tabs>
          <w:tab w:val="left" w:pos="993"/>
        </w:tabs>
        <w:spacing w:before="120"/>
        <w:ind w:left="1418"/>
        <w:jc w:val="both"/>
        <w:rPr>
          <w:rFonts w:ascii="Arial Narrow" w:hAnsi="Arial Narrow"/>
          <w:sz w:val="22"/>
        </w:rPr>
      </w:pPr>
      <w:r>
        <w:rPr>
          <w:rFonts w:ascii="Arial Narrow" w:hAnsi="Arial Narrow"/>
          <w:sz w:val="22"/>
        </w:rPr>
        <w:t>O</w:t>
      </w:r>
      <w:r w:rsidRPr="00E036F6">
        <w:rPr>
          <w:rFonts w:ascii="Arial Narrow" w:hAnsi="Arial Narrow"/>
          <w:sz w:val="22"/>
        </w:rPr>
        <w:t xml:space="preserve"> Estado português deveria ter adoptado as necessárias providências legislativas até 28.3.2011 (artigo 8.º da Decisão-Quadro 2009/299/JAI), o que não aconteceu.</w:t>
      </w:r>
    </w:p>
    <w:p w:rsidR="0005127D" w:rsidRPr="0091075D" w:rsidRDefault="0005127D" w:rsidP="00BF723E">
      <w:pPr>
        <w:numPr>
          <w:ilvl w:val="1"/>
          <w:numId w:val="36"/>
        </w:numPr>
        <w:tabs>
          <w:tab w:val="left" w:pos="993"/>
        </w:tabs>
        <w:spacing w:before="240"/>
        <w:ind w:left="992" w:hanging="635"/>
        <w:jc w:val="both"/>
        <w:rPr>
          <w:rFonts w:ascii="Arial Narrow" w:hAnsi="Arial Narrow"/>
        </w:rPr>
      </w:pPr>
      <w:r w:rsidRPr="0091075D">
        <w:rPr>
          <w:rFonts w:ascii="Arial Narrow" w:hAnsi="Arial Narrow"/>
        </w:rPr>
        <w:t xml:space="preserve">Sobre a interpretação do artigo 4.º, n.º 6, e 5.º, n.º 3, da Decisão-Quadro do MDE pode ver-se o acórdão do Tribunal de Justiça da UE de 21.10.2010 (caso </w:t>
      </w:r>
      <w:r w:rsidRPr="0091075D">
        <w:rPr>
          <w:rFonts w:ascii="Arial Narrow" w:hAnsi="Arial Narrow"/>
          <w:i/>
        </w:rPr>
        <w:t>I.B v Conseil des ministres</w:t>
      </w:r>
      <w:r w:rsidRPr="0091075D">
        <w:rPr>
          <w:rFonts w:ascii="Arial Narrow" w:hAnsi="Arial Narrow"/>
        </w:rPr>
        <w:t>, Proc. C-306/09), em cujo sumário se lê:</w:t>
      </w:r>
    </w:p>
    <w:p w:rsidR="0005127D" w:rsidRPr="007C2C73" w:rsidRDefault="0005127D" w:rsidP="00913D5B">
      <w:pPr>
        <w:tabs>
          <w:tab w:val="left" w:pos="900"/>
        </w:tabs>
        <w:spacing w:before="120"/>
        <w:ind w:left="1276"/>
        <w:jc w:val="both"/>
        <w:rPr>
          <w:rFonts w:ascii="Arial Narrow" w:hAnsi="Arial Narrow" w:cs="Arial"/>
          <w:i/>
          <w:color w:val="000000"/>
          <w:szCs w:val="22"/>
        </w:rPr>
      </w:pPr>
      <w:r w:rsidRPr="007C2C73">
        <w:rPr>
          <w:rFonts w:ascii="Arial Narrow" w:hAnsi="Arial Narrow"/>
          <w:i/>
          <w:szCs w:val="22"/>
        </w:rPr>
        <w:t>Os artigos 4.°, ponto 6, e 5.°, ponto 3, da Decisão</w:t>
      </w:r>
      <w:r w:rsidRPr="007C2C73">
        <w:rPr>
          <w:rFonts w:ascii="Arial Narrow" w:hAnsi="Arial Narrow"/>
          <w:i/>
          <w:szCs w:val="22"/>
        </w:rPr>
        <w:noBreakHyphen/>
        <w:t xml:space="preserve">Quadro 2002/584 </w:t>
      </w:r>
      <w:r>
        <w:rPr>
          <w:rFonts w:ascii="Arial Narrow" w:hAnsi="Arial Narrow"/>
          <w:i/>
          <w:szCs w:val="22"/>
        </w:rPr>
        <w:t>(...)</w:t>
      </w:r>
      <w:r w:rsidRPr="007C2C73">
        <w:rPr>
          <w:rFonts w:ascii="Arial Narrow" w:hAnsi="Arial Narrow"/>
          <w:i/>
          <w:szCs w:val="22"/>
        </w:rPr>
        <w:t>, devem ser interpretados no sentido de que, quando o Estado</w:t>
      </w:r>
      <w:r w:rsidRPr="007C2C73">
        <w:rPr>
          <w:rFonts w:ascii="Arial Narrow" w:hAnsi="Arial Narrow"/>
          <w:i/>
          <w:szCs w:val="22"/>
        </w:rPr>
        <w:noBreakHyphen/>
        <w:t>Membro de execução em questão tenha transposto o artigo 5.°, pontos  1 e 3, desta decisão</w:t>
      </w:r>
      <w:r w:rsidRPr="007C2C73">
        <w:rPr>
          <w:rFonts w:ascii="Arial Narrow" w:hAnsi="Arial Narrow"/>
          <w:i/>
          <w:szCs w:val="22"/>
        </w:rPr>
        <w:noBreakHyphen/>
        <w:t>quadro para a sua ordem jurídica interna, a execução de um mandado de detenção europeu emitido para efeitos da execução de uma pena pronunciada na ausência do arguido na acepção do referido artigo 5.°, ponto 1, pode ser sujeita à condição de a pessoa em causa, nacional do Estado</w:t>
      </w:r>
      <w:r w:rsidRPr="007C2C73">
        <w:rPr>
          <w:rFonts w:ascii="Arial Narrow" w:hAnsi="Arial Narrow"/>
          <w:i/>
          <w:szCs w:val="22"/>
        </w:rPr>
        <w:noBreakHyphen/>
        <w:t>Membro de execução ou nele residente, ser devolvido a este último a fim de, sendo caso disso, aí cumprir a pena que contra ele seja pronunciada, no termo de novo julgamento, organizado na sua presença, no Estado</w:t>
      </w:r>
      <w:r w:rsidRPr="007C2C73">
        <w:rPr>
          <w:rFonts w:ascii="Arial Narrow" w:hAnsi="Arial Narrow"/>
          <w:i/>
          <w:szCs w:val="22"/>
        </w:rPr>
        <w:noBreakHyphen/>
        <w:t xml:space="preserve">Membro de emissão. </w:t>
      </w:r>
      <w:r w:rsidRPr="007C2C73">
        <w:rPr>
          <w:rFonts w:ascii="Arial Narrow" w:hAnsi="Arial Narrow"/>
          <w:i/>
          <w:color w:val="000000"/>
          <w:szCs w:val="22"/>
        </w:rPr>
        <w:t>Com efeito, dado que a situação de uma pessoa que foi condenada na ausência e que dispõe ainda da possibilidade de requerer novo processo é equivalente à de uma pessoa que é objecto de um mandado de detenção europeu para fins de procedimento penal, nenhuma razão objectiva se opõe a que uma autoridade judiciária de execução que aplicou o artigo 5.°, ponto 1, da Decisão</w:t>
      </w:r>
      <w:r w:rsidRPr="007C2C73">
        <w:rPr>
          <w:rFonts w:ascii="Arial Narrow" w:hAnsi="Arial Narrow"/>
          <w:i/>
          <w:color w:val="000000"/>
          <w:szCs w:val="22"/>
        </w:rPr>
        <w:noBreakHyphen/>
        <w:t xml:space="preserve">Quadro 2002/584 aplique a condição que figura no artigo </w:t>
      </w:r>
      <w:r w:rsidRPr="007C2C73">
        <w:rPr>
          <w:rFonts w:ascii="Arial Narrow" w:hAnsi="Arial Narrow" w:cs="Arial"/>
          <w:i/>
          <w:color w:val="000000"/>
          <w:szCs w:val="22"/>
        </w:rPr>
        <w:t>5.°, ponto 3, desta.</w:t>
      </w:r>
    </w:p>
    <w:p w:rsidR="0005127D" w:rsidRPr="007C2C73" w:rsidRDefault="0005127D" w:rsidP="00BF723E">
      <w:pPr>
        <w:numPr>
          <w:ilvl w:val="1"/>
          <w:numId w:val="36"/>
        </w:numPr>
        <w:tabs>
          <w:tab w:val="left" w:pos="900"/>
        </w:tabs>
        <w:spacing w:before="240"/>
        <w:ind w:left="788" w:hanging="431"/>
        <w:jc w:val="both"/>
        <w:rPr>
          <w:rFonts w:ascii="Arial Narrow" w:hAnsi="Arial Narrow"/>
        </w:rPr>
      </w:pPr>
      <w:r w:rsidRPr="00633245">
        <w:rPr>
          <w:rFonts w:ascii="Arial Narrow" w:hAnsi="Arial Narrow"/>
        </w:rPr>
        <w:t>Sobre o valor da interpretação pelo Tribunal de Justiça da UE cf. supra 9.</w:t>
      </w:r>
      <w:r>
        <w:rPr>
          <w:rFonts w:ascii="Arial Narrow" w:hAnsi="Arial Narrow"/>
        </w:rPr>
        <w:t>2</w:t>
      </w:r>
      <w:r w:rsidRPr="00633245">
        <w:rPr>
          <w:rFonts w:ascii="Arial Narrow" w:hAnsi="Arial Narrow"/>
        </w:rPr>
        <w:t>.</w:t>
      </w:r>
    </w:p>
    <w:p w:rsidR="0005127D" w:rsidRPr="00633245" w:rsidRDefault="0005127D" w:rsidP="00BF723E">
      <w:pPr>
        <w:numPr>
          <w:ilvl w:val="0"/>
          <w:numId w:val="36"/>
        </w:numPr>
        <w:tabs>
          <w:tab w:val="left" w:pos="426"/>
        </w:tabs>
        <w:spacing w:before="480"/>
        <w:ind w:left="425" w:hanging="425"/>
        <w:jc w:val="both"/>
        <w:rPr>
          <w:rFonts w:ascii="Arial Narrow" w:hAnsi="Arial Narrow"/>
          <w:b/>
          <w:i/>
        </w:rPr>
      </w:pPr>
      <w:r w:rsidRPr="00633245">
        <w:rPr>
          <w:rFonts w:ascii="Arial Narrow" w:hAnsi="Arial Narrow"/>
          <w:b/>
          <w:i/>
        </w:rPr>
        <w:t>Garantia em caso de recusa com base na nacionalidade ou residência (cont. – artigo 12.º, n.º 1, al. g)</w:t>
      </w:r>
      <w:r>
        <w:rPr>
          <w:rFonts w:ascii="Arial Narrow" w:hAnsi="Arial Narrow"/>
          <w:b/>
          <w:i/>
        </w:rPr>
        <w:t xml:space="preserve">, </w:t>
      </w:r>
      <w:r w:rsidRPr="00633245">
        <w:rPr>
          <w:rFonts w:ascii="Arial Narrow" w:hAnsi="Arial Narrow"/>
          <w:b/>
          <w:i/>
        </w:rPr>
        <w:t xml:space="preserve">da Lei </w:t>
      </w:r>
      <w:r>
        <w:rPr>
          <w:rFonts w:ascii="Arial Narrow" w:hAnsi="Arial Narrow"/>
          <w:b/>
          <w:i/>
        </w:rPr>
        <w:t xml:space="preserve">n.º </w:t>
      </w:r>
      <w:r w:rsidRPr="00633245">
        <w:rPr>
          <w:rFonts w:ascii="Arial Narrow" w:hAnsi="Arial Narrow"/>
          <w:b/>
          <w:i/>
        </w:rPr>
        <w:t>65/2003 e artigo 25.º da Decisão-Quadro 2008/909/JAI, de 27.11.2008</w:t>
      </w:r>
      <w:r>
        <w:rPr>
          <w:rFonts w:ascii="Arial Narrow" w:hAnsi="Arial Narrow"/>
          <w:b/>
          <w:i/>
        </w:rPr>
        <w:t>)</w:t>
      </w:r>
    </w:p>
    <w:p w:rsidR="0005127D" w:rsidRDefault="0005127D" w:rsidP="00BF723E">
      <w:pPr>
        <w:numPr>
          <w:ilvl w:val="1"/>
          <w:numId w:val="36"/>
        </w:numPr>
        <w:tabs>
          <w:tab w:val="left" w:pos="993"/>
        </w:tabs>
        <w:spacing w:before="360"/>
        <w:ind w:left="992" w:hanging="635"/>
        <w:jc w:val="both"/>
        <w:rPr>
          <w:rFonts w:ascii="Arial Narrow" w:hAnsi="Arial Narrow"/>
        </w:rPr>
      </w:pPr>
      <w:r w:rsidRPr="00633245">
        <w:rPr>
          <w:rFonts w:ascii="Arial Narrow" w:hAnsi="Arial Narrow"/>
        </w:rPr>
        <w:t xml:space="preserve">Tem sido jurisprudência constante do STJ que, quando Portugal se compromete a executar a pena ou medida de segurança em caso de recusa da entrega fundada na nacionalidade ou residência, nos termos do artigo 12.º, n.º 1, al. g), da Lei </w:t>
      </w:r>
      <w:r>
        <w:rPr>
          <w:rFonts w:ascii="Arial Narrow" w:hAnsi="Arial Narrow"/>
        </w:rPr>
        <w:t xml:space="preserve">n.º </w:t>
      </w:r>
      <w:r w:rsidRPr="00633245">
        <w:rPr>
          <w:rFonts w:ascii="Arial Narrow" w:hAnsi="Arial Narrow"/>
        </w:rPr>
        <w:t xml:space="preserve">65/2003 (que transpõe o n.º 6 do artigo 4.º da Decisão-Quadro </w:t>
      </w:r>
      <w:r>
        <w:rPr>
          <w:rFonts w:ascii="Arial Narrow" w:hAnsi="Arial Narrow"/>
        </w:rPr>
        <w:t>relativa ao</w:t>
      </w:r>
      <w:r w:rsidRPr="00633245">
        <w:rPr>
          <w:rFonts w:ascii="Arial Narrow" w:hAnsi="Arial Narrow"/>
        </w:rPr>
        <w:t xml:space="preserve"> MDE), não é necessária a revisão e confirmação da sentença condenatória estrangeira, por força do princípio do reconhecimento mútuo das decisões judiciais</w:t>
      </w:r>
      <w:r>
        <w:rPr>
          <w:rFonts w:ascii="Arial Narrow" w:hAnsi="Arial Narrow"/>
        </w:rPr>
        <w:t>,</w:t>
      </w:r>
      <w:r w:rsidRPr="00633245">
        <w:rPr>
          <w:rFonts w:ascii="Arial Narrow" w:hAnsi="Arial Narrow"/>
        </w:rPr>
        <w:t xml:space="preserve"> </w:t>
      </w:r>
      <w:r>
        <w:rPr>
          <w:rFonts w:ascii="Arial Narrow" w:hAnsi="Arial Narrow"/>
        </w:rPr>
        <w:t>em que se fundamenta</w:t>
      </w:r>
      <w:r w:rsidRPr="00633245">
        <w:rPr>
          <w:rFonts w:ascii="Arial Narrow" w:hAnsi="Arial Narrow"/>
        </w:rPr>
        <w:t xml:space="preserve"> o MDE.</w:t>
      </w:r>
    </w:p>
    <w:p w:rsidR="0005127D" w:rsidRDefault="0005127D" w:rsidP="00BF723E">
      <w:pPr>
        <w:numPr>
          <w:ilvl w:val="1"/>
          <w:numId w:val="36"/>
        </w:numPr>
        <w:tabs>
          <w:tab w:val="left" w:pos="993"/>
        </w:tabs>
        <w:spacing w:before="240"/>
        <w:ind w:left="992" w:hanging="635"/>
        <w:jc w:val="both"/>
        <w:rPr>
          <w:rFonts w:ascii="Arial Narrow" w:hAnsi="Arial Narrow"/>
        </w:rPr>
      </w:pPr>
      <w:r>
        <w:rPr>
          <w:rFonts w:ascii="Arial Narrow" w:hAnsi="Arial Narrow"/>
        </w:rPr>
        <w:t>Porém, a</w:t>
      </w:r>
      <w:r w:rsidRPr="00633245">
        <w:rPr>
          <w:rFonts w:ascii="Arial Narrow" w:hAnsi="Arial Narrow"/>
        </w:rPr>
        <w:t xml:space="preserve"> necessidade de decisão que confira força executória a uma decisão penal condenatória estrangeira </w:t>
      </w:r>
      <w:r>
        <w:rPr>
          <w:rFonts w:ascii="Arial Narrow" w:hAnsi="Arial Narrow"/>
        </w:rPr>
        <w:t>resulta de norma</w:t>
      </w:r>
      <w:r w:rsidRPr="00633245">
        <w:rPr>
          <w:rFonts w:ascii="Arial Narrow" w:hAnsi="Arial Narrow"/>
        </w:rPr>
        <w:t xml:space="preserve"> expressa </w:t>
      </w:r>
      <w:r>
        <w:rPr>
          <w:rFonts w:ascii="Arial Narrow" w:hAnsi="Arial Narrow"/>
        </w:rPr>
        <w:t>d</w:t>
      </w:r>
      <w:r w:rsidRPr="00633245">
        <w:rPr>
          <w:rFonts w:ascii="Arial Narrow" w:hAnsi="Arial Narrow"/>
        </w:rPr>
        <w:t xml:space="preserve">o artigo 234.º, n.º 1, do CPP e </w:t>
      </w:r>
      <w:r>
        <w:rPr>
          <w:rFonts w:ascii="Arial Narrow" w:hAnsi="Arial Narrow"/>
        </w:rPr>
        <w:t>d</w:t>
      </w:r>
      <w:r w:rsidRPr="00633245">
        <w:rPr>
          <w:rFonts w:ascii="Arial Narrow" w:hAnsi="Arial Narrow"/>
        </w:rPr>
        <w:t>o artigo 100.º da Lei 144/99, de 31 de Agosto</w:t>
      </w:r>
      <w:r>
        <w:rPr>
          <w:rFonts w:ascii="Arial Narrow" w:hAnsi="Arial Narrow"/>
        </w:rPr>
        <w:t>, que a Lei 65/2003 não revogou, constituindo um princípio fundamental de reserva de soberania em matéria penal.</w:t>
      </w:r>
    </w:p>
    <w:p w:rsidR="0005127D" w:rsidRPr="006E5622" w:rsidRDefault="0005127D" w:rsidP="00913D5B">
      <w:pPr>
        <w:tabs>
          <w:tab w:val="left" w:pos="993"/>
        </w:tabs>
        <w:spacing w:before="120"/>
        <w:ind w:left="1418"/>
        <w:jc w:val="both"/>
        <w:rPr>
          <w:rFonts w:ascii="Arial Narrow" w:hAnsi="Arial Narrow"/>
          <w:sz w:val="22"/>
        </w:rPr>
      </w:pPr>
      <w:r w:rsidRPr="006E5622">
        <w:rPr>
          <w:rFonts w:ascii="Arial Narrow" w:hAnsi="Arial Narrow"/>
          <w:sz w:val="22"/>
        </w:rPr>
        <w:t>Desde o início da vigência do regime do MDE, identificou-se, em vários Estados-Membros, a dificuldade de aplicação do artigo 4.º, n.º 6, da Decisão-Quadro do MDE, por falta de instrumento convencional próprio no âmbito da UE, uma vez que a Convenção do Conselho da Europa relativa à Transferência de Pessoas Condenadas (1983), vigente entre os Estados-Membros da UE, não fornece base jurídica suficiente para fazer funcionar o mecanismo previsto na parte final deste preceito em termos diferentes dos previstos nesta Convenção.</w:t>
      </w:r>
    </w:p>
    <w:p w:rsidR="0005127D" w:rsidRPr="006E5622" w:rsidRDefault="0005127D" w:rsidP="00913D5B">
      <w:pPr>
        <w:tabs>
          <w:tab w:val="left" w:pos="993"/>
        </w:tabs>
        <w:spacing w:before="120"/>
        <w:ind w:left="1418"/>
        <w:jc w:val="both"/>
        <w:rPr>
          <w:rFonts w:ascii="Arial Narrow" w:hAnsi="Arial Narrow"/>
          <w:sz w:val="22"/>
        </w:rPr>
      </w:pPr>
      <w:r w:rsidRPr="006E5622">
        <w:rPr>
          <w:rFonts w:ascii="Arial Narrow" w:hAnsi="Arial Narrow"/>
          <w:sz w:val="22"/>
        </w:rPr>
        <w:t xml:space="preserve">A Decisão-Quadro 2008/909/JAI do Conselho, de 27.11.2008, relativa ao reconhecimento mútuo para efeito de execução de sentenças na União Europeia, veio abranger expressamente esta situação </w:t>
      </w:r>
      <w:r>
        <w:rPr>
          <w:rFonts w:ascii="Arial Narrow" w:hAnsi="Arial Narrow"/>
          <w:sz w:val="22"/>
        </w:rPr>
        <w:t>no</w:t>
      </w:r>
      <w:r w:rsidRPr="006E5622">
        <w:rPr>
          <w:rFonts w:ascii="Arial Narrow" w:hAnsi="Arial Narrow"/>
          <w:sz w:val="22"/>
        </w:rPr>
        <w:t xml:space="preserve"> artigo 25.º (como claramente reconhece o respectivo considerando n.º 12), tendo os Estados-Membros assumido o compromisso de transposição deste instrumento para o direito interno até 5 de Dezembro de 2011, o que não aconteceu no caso de Portugal.</w:t>
      </w:r>
    </w:p>
    <w:p w:rsidR="0005127D" w:rsidRDefault="0005127D" w:rsidP="00BF723E">
      <w:pPr>
        <w:numPr>
          <w:ilvl w:val="1"/>
          <w:numId w:val="36"/>
        </w:numPr>
        <w:tabs>
          <w:tab w:val="left" w:pos="993"/>
        </w:tabs>
        <w:spacing w:before="240"/>
        <w:ind w:left="992" w:hanging="635"/>
        <w:jc w:val="both"/>
        <w:rPr>
          <w:rFonts w:ascii="Arial Narrow" w:hAnsi="Arial Narrow"/>
        </w:rPr>
      </w:pPr>
      <w:r w:rsidRPr="00633245">
        <w:rPr>
          <w:rFonts w:ascii="Arial Narrow" w:hAnsi="Arial Narrow"/>
        </w:rPr>
        <w:t xml:space="preserve">A jurisprudência do STJ </w:t>
      </w:r>
      <w:r>
        <w:rPr>
          <w:rFonts w:ascii="Arial Narrow" w:hAnsi="Arial Narrow"/>
        </w:rPr>
        <w:t>apresenta</w:t>
      </w:r>
      <w:r w:rsidRPr="00633245">
        <w:rPr>
          <w:rFonts w:ascii="Arial Narrow" w:hAnsi="Arial Narrow"/>
        </w:rPr>
        <w:t xml:space="preserve"> duas </w:t>
      </w:r>
      <w:r>
        <w:rPr>
          <w:rFonts w:ascii="Arial Narrow" w:hAnsi="Arial Narrow"/>
        </w:rPr>
        <w:t>dificuldades</w:t>
      </w:r>
      <w:r w:rsidRPr="00633245">
        <w:rPr>
          <w:rFonts w:ascii="Arial Narrow" w:hAnsi="Arial Narrow"/>
        </w:rPr>
        <w:t xml:space="preserve">: </w:t>
      </w:r>
    </w:p>
    <w:p w:rsidR="0005127D" w:rsidRDefault="0005127D" w:rsidP="008B5EE3">
      <w:pPr>
        <w:numPr>
          <w:ilvl w:val="0"/>
          <w:numId w:val="26"/>
        </w:numPr>
        <w:tabs>
          <w:tab w:val="left" w:pos="1440"/>
        </w:tabs>
        <w:spacing w:before="120"/>
        <w:jc w:val="both"/>
        <w:rPr>
          <w:rFonts w:ascii="Arial Narrow" w:hAnsi="Arial Narrow"/>
        </w:rPr>
      </w:pPr>
      <w:r>
        <w:rPr>
          <w:rFonts w:ascii="Arial Narrow" w:hAnsi="Arial Narrow"/>
        </w:rPr>
        <w:t>E</w:t>
      </w:r>
      <w:r w:rsidRPr="00633245">
        <w:rPr>
          <w:rFonts w:ascii="Arial Narrow" w:hAnsi="Arial Narrow"/>
        </w:rPr>
        <w:t>stende o princípio do reconhecimento mútuo</w:t>
      </w:r>
      <w:r>
        <w:rPr>
          <w:rFonts w:ascii="Arial Narrow" w:hAnsi="Arial Narrow"/>
        </w:rPr>
        <w:t>,</w:t>
      </w:r>
      <w:r w:rsidRPr="00633245">
        <w:rPr>
          <w:rFonts w:ascii="Arial Narrow" w:hAnsi="Arial Narrow"/>
        </w:rPr>
        <w:t xml:space="preserve"> em que assenta a execução da decisão judicial que é o MDE</w:t>
      </w:r>
      <w:r>
        <w:rPr>
          <w:rFonts w:ascii="Arial Narrow" w:hAnsi="Arial Narrow"/>
        </w:rPr>
        <w:t xml:space="preserve"> e à qual se limita,</w:t>
      </w:r>
      <w:r w:rsidRPr="00633245">
        <w:rPr>
          <w:rFonts w:ascii="Arial Narrow" w:hAnsi="Arial Narrow"/>
        </w:rPr>
        <w:t xml:space="preserve"> à sentença condenatória que justifica o MDE; e </w:t>
      </w:r>
    </w:p>
    <w:p w:rsidR="0005127D" w:rsidRPr="00633245" w:rsidRDefault="0005127D" w:rsidP="008B5EE3">
      <w:pPr>
        <w:numPr>
          <w:ilvl w:val="0"/>
          <w:numId w:val="26"/>
        </w:numPr>
        <w:tabs>
          <w:tab w:val="left" w:pos="1440"/>
        </w:tabs>
        <w:spacing w:before="120"/>
        <w:jc w:val="both"/>
        <w:rPr>
          <w:rFonts w:ascii="Arial Narrow" w:hAnsi="Arial Narrow"/>
        </w:rPr>
      </w:pPr>
      <w:r>
        <w:rPr>
          <w:rFonts w:ascii="Arial Narrow" w:hAnsi="Arial Narrow"/>
        </w:rPr>
        <w:t>I</w:t>
      </w:r>
      <w:r w:rsidRPr="00633245">
        <w:rPr>
          <w:rFonts w:ascii="Arial Narrow" w:hAnsi="Arial Narrow"/>
        </w:rPr>
        <w:t xml:space="preserve">gnora o princípio da necessidade de uma decisão de um tribunal judicial nacional que confira executoriedade a uma sentença estrangeira enquanto corolário do princípio essencial da juridicidade estatal (artigos 234.º, n.º 1, do CPP, e 100.º da Lei </w:t>
      </w:r>
      <w:r>
        <w:rPr>
          <w:rFonts w:ascii="Arial Narrow" w:hAnsi="Arial Narrow"/>
        </w:rPr>
        <w:t xml:space="preserve">n.º </w:t>
      </w:r>
      <w:r w:rsidRPr="00633245">
        <w:rPr>
          <w:rFonts w:ascii="Arial Narrow" w:hAnsi="Arial Narrow"/>
        </w:rPr>
        <w:t xml:space="preserve">144/99, que a Lei </w:t>
      </w:r>
      <w:r>
        <w:rPr>
          <w:rFonts w:ascii="Arial Narrow" w:hAnsi="Arial Narrow"/>
        </w:rPr>
        <w:t xml:space="preserve">n.º </w:t>
      </w:r>
      <w:r w:rsidRPr="00633245">
        <w:rPr>
          <w:rFonts w:ascii="Arial Narrow" w:hAnsi="Arial Narrow"/>
        </w:rPr>
        <w:t>65/2003 não tem a potencialidade de revogar ou limitar), assim contendendo com um princípio fundamental de soberania</w:t>
      </w:r>
      <w:r>
        <w:rPr>
          <w:rFonts w:ascii="Arial Narrow" w:hAnsi="Arial Narrow"/>
        </w:rPr>
        <w:t>,</w:t>
      </w:r>
      <w:r w:rsidRPr="00633245">
        <w:rPr>
          <w:rFonts w:ascii="Arial Narrow" w:hAnsi="Arial Narrow"/>
        </w:rPr>
        <w:t xml:space="preserve"> de que os tribunais são órgãos nos termos da Constituição.</w:t>
      </w:r>
    </w:p>
    <w:p w:rsidR="0005127D" w:rsidRPr="0095388F" w:rsidRDefault="0005127D" w:rsidP="00913D5B">
      <w:pPr>
        <w:spacing w:before="120"/>
        <w:ind w:left="2124"/>
        <w:jc w:val="both"/>
        <w:rPr>
          <w:rFonts w:ascii="Arial Narrow" w:hAnsi="Arial Narrow"/>
          <w:sz w:val="22"/>
        </w:rPr>
      </w:pPr>
      <w:r w:rsidRPr="0095388F">
        <w:rPr>
          <w:rFonts w:ascii="Arial Narrow" w:hAnsi="Arial Narrow"/>
          <w:sz w:val="22"/>
        </w:rPr>
        <w:t>Sem prejuízo de se continuar a reflectir sobre a projecção da jurisprudência do STJ nos casos pendentes, afigura-se prioritária a intervenção do legislador de modo a corrigir a situação actual mediante a transposição da Decisão-Quadro 2008/299/JAI.</w:t>
      </w:r>
    </w:p>
    <w:p w:rsidR="0005127D" w:rsidRPr="00633245" w:rsidRDefault="0005127D" w:rsidP="00BF723E">
      <w:pPr>
        <w:numPr>
          <w:ilvl w:val="1"/>
          <w:numId w:val="36"/>
        </w:numPr>
        <w:spacing w:before="240"/>
        <w:ind w:left="992" w:hanging="635"/>
        <w:jc w:val="both"/>
        <w:rPr>
          <w:rFonts w:ascii="Arial Narrow" w:hAnsi="Arial Narrow"/>
        </w:rPr>
      </w:pPr>
      <w:r w:rsidRPr="00633245">
        <w:rPr>
          <w:rFonts w:ascii="Arial Narrow" w:hAnsi="Arial Narrow"/>
        </w:rPr>
        <w:t>Enquanto a Lei 65/2003 não for revista, a posição do Ministério Público poderá apoiar-se nas seguintes ideias-força:</w:t>
      </w:r>
    </w:p>
    <w:p w:rsidR="0005127D" w:rsidRDefault="0005127D" w:rsidP="00C2602C">
      <w:pPr>
        <w:numPr>
          <w:ilvl w:val="0"/>
          <w:numId w:val="19"/>
        </w:numPr>
        <w:tabs>
          <w:tab w:val="left" w:pos="1276"/>
          <w:tab w:val="left" w:pos="1620"/>
        </w:tabs>
        <w:spacing w:before="120"/>
        <w:jc w:val="both"/>
        <w:rPr>
          <w:rFonts w:ascii="Arial Narrow" w:hAnsi="Arial Narrow"/>
        </w:rPr>
      </w:pPr>
      <w:r w:rsidRPr="00633245">
        <w:rPr>
          <w:rFonts w:ascii="Arial Narrow" w:hAnsi="Arial Narrow"/>
        </w:rPr>
        <w:t>A força executiva de uma sentença condenatória penal estrangeira em Portugal depende sempre de prévia revisão e confirmação (</w:t>
      </w:r>
      <w:r>
        <w:rPr>
          <w:rFonts w:ascii="Arial Narrow" w:hAnsi="Arial Narrow"/>
        </w:rPr>
        <w:t>artigo</w:t>
      </w:r>
      <w:r w:rsidRPr="00633245">
        <w:rPr>
          <w:rFonts w:ascii="Arial Narrow" w:hAnsi="Arial Narrow"/>
        </w:rPr>
        <w:t xml:space="preserve"> 234</w:t>
      </w:r>
      <w:r>
        <w:rPr>
          <w:rFonts w:ascii="Arial Narrow" w:hAnsi="Arial Narrow"/>
        </w:rPr>
        <w:t>.º</w:t>
      </w:r>
      <w:r w:rsidRPr="00633245">
        <w:rPr>
          <w:rFonts w:ascii="Arial Narrow" w:hAnsi="Arial Narrow"/>
        </w:rPr>
        <w:t>, n.º 1, do CPP e 100.º, n.º 1, da Lei 144/99)</w:t>
      </w:r>
      <w:r>
        <w:rPr>
          <w:rFonts w:ascii="Arial Narrow" w:hAnsi="Arial Narrow"/>
        </w:rPr>
        <w:t>;</w:t>
      </w:r>
    </w:p>
    <w:p w:rsidR="0005127D" w:rsidRPr="00633245"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 xml:space="preserve">A execução de sentença tem lugar em Portugal após revisão e confirmação de sentença condenatória, nos casos em que Portugal extradita cidadãos nacionais mediante a apresentação de garantia da sua devolução para cumprimento da pena (artigo 96.º, n.º 6, da Lei n.º 144/99) – cf. </w:t>
      </w:r>
      <w:r w:rsidRPr="001D69F0">
        <w:rPr>
          <w:rFonts w:ascii="Arial Narrow" w:hAnsi="Arial Narrow"/>
          <w:i/>
        </w:rPr>
        <w:t>infra</w:t>
      </w:r>
      <w:r>
        <w:rPr>
          <w:rFonts w:ascii="Arial Narrow" w:hAnsi="Arial Narrow"/>
        </w:rPr>
        <w:t xml:space="preserve"> 18.1;</w:t>
      </w:r>
    </w:p>
    <w:p w:rsidR="0005127D" w:rsidRDefault="0005127D" w:rsidP="00C2602C">
      <w:pPr>
        <w:numPr>
          <w:ilvl w:val="0"/>
          <w:numId w:val="19"/>
        </w:numPr>
        <w:tabs>
          <w:tab w:val="left" w:pos="1276"/>
          <w:tab w:val="left" w:pos="1620"/>
        </w:tabs>
        <w:spacing w:before="120"/>
        <w:jc w:val="both"/>
        <w:rPr>
          <w:rFonts w:ascii="Arial Narrow" w:hAnsi="Arial Narrow"/>
        </w:rPr>
      </w:pPr>
      <w:r w:rsidRPr="00633245">
        <w:rPr>
          <w:rFonts w:ascii="Arial Narrow" w:hAnsi="Arial Narrow"/>
        </w:rPr>
        <w:t xml:space="preserve">Ao ratificar a Convenção do Conselho da Europa relativa à Transferência </w:t>
      </w:r>
      <w:r>
        <w:rPr>
          <w:rFonts w:ascii="Arial Narrow" w:hAnsi="Arial Narrow"/>
        </w:rPr>
        <w:t>de Pessoas Condenadas, de 1983</w:t>
      </w:r>
      <w:r w:rsidRPr="00633245">
        <w:rPr>
          <w:rFonts w:ascii="Arial Narrow" w:hAnsi="Arial Narrow"/>
        </w:rPr>
        <w:t>, Portugal obrigou-se a dar continuidade à execução da condenação estrangeira, sem a alterar, apenas com duas limitações: redução da pena quando a pena aplicada ultrapassar o máximo previsto na lei portuguesa e conversão da pena quando a pena aplicada não estiver prevista na lei portuguesa (</w:t>
      </w:r>
      <w:r>
        <w:rPr>
          <w:rFonts w:ascii="Arial Narrow" w:hAnsi="Arial Narrow"/>
        </w:rPr>
        <w:t>RAR 8/93, DR I-A de 20.4.93)</w:t>
      </w:r>
      <w:r w:rsidRPr="00633245">
        <w:rPr>
          <w:rFonts w:ascii="Arial Narrow" w:hAnsi="Arial Narrow"/>
        </w:rPr>
        <w:t>);</w:t>
      </w:r>
    </w:p>
    <w:p w:rsidR="0005127D" w:rsidRPr="00F3388D" w:rsidRDefault="0005127D" w:rsidP="00C2602C">
      <w:pPr>
        <w:numPr>
          <w:ilvl w:val="0"/>
          <w:numId w:val="19"/>
        </w:numPr>
        <w:tabs>
          <w:tab w:val="left" w:pos="1276"/>
          <w:tab w:val="left" w:pos="1620"/>
        </w:tabs>
        <w:spacing w:before="120"/>
        <w:jc w:val="both"/>
        <w:rPr>
          <w:rFonts w:ascii="Arial Narrow" w:hAnsi="Arial Narrow"/>
        </w:rPr>
      </w:pPr>
      <w:r w:rsidRPr="00F3388D">
        <w:rPr>
          <w:rFonts w:ascii="Arial Narrow" w:hAnsi="Arial Narrow"/>
        </w:rPr>
        <w:t>Estas duas limitações resultam directamente do artigo 237.º, n.º 3, do CPP</w:t>
      </w:r>
      <w:r>
        <w:rPr>
          <w:rFonts w:ascii="Arial Narrow" w:hAnsi="Arial Narrow"/>
        </w:rPr>
        <w:t xml:space="preserve"> que disp</w:t>
      </w:r>
      <w:r w:rsidRPr="00F3388D">
        <w:rPr>
          <w:rFonts w:ascii="Arial Narrow" w:hAnsi="Arial Narrow"/>
        </w:rPr>
        <w:t>õe:</w:t>
      </w:r>
      <w:r w:rsidRPr="00F3388D">
        <w:rPr>
          <w:rFonts w:ascii="Arial Narrow" w:hAnsi="Arial Narrow"/>
          <w:color w:val="000000"/>
          <w:shd w:val="clear" w:color="auto" w:fill="FFFFFF"/>
        </w:rPr>
        <w:t xml:space="preserve"> </w:t>
      </w:r>
    </w:p>
    <w:p w:rsidR="0005127D" w:rsidRPr="0095388F" w:rsidRDefault="0005127D" w:rsidP="00697309">
      <w:pPr>
        <w:tabs>
          <w:tab w:val="left" w:pos="1440"/>
          <w:tab w:val="left" w:pos="2268"/>
        </w:tabs>
        <w:spacing w:before="120"/>
        <w:ind w:left="2127"/>
        <w:jc w:val="both"/>
        <w:rPr>
          <w:rFonts w:ascii="Arial Narrow" w:hAnsi="Arial Narrow"/>
          <w:i/>
          <w:szCs w:val="22"/>
        </w:rPr>
      </w:pPr>
      <w:r w:rsidRPr="0095388F">
        <w:rPr>
          <w:rFonts w:ascii="Arial Narrow" w:hAnsi="Arial Narrow"/>
          <w:i/>
          <w:color w:val="000000"/>
          <w:szCs w:val="22"/>
          <w:shd w:val="clear" w:color="auto" w:fill="FFFFFF"/>
        </w:rPr>
        <w:t>Se a sentença penal estrangeira tiver aplicado pena que a lei portuguesa não prevê ou pena que a lei portuguesa prevê, mas em medida superior ao máximo legal admissível, a sentença é confirmada, mas a pena aplicada converte-se naquela que ao caso coubesse segundo a lei portuguesa ou reduz-se até ao limite adequado. Não obsta, porém, à confirmação a aplicação pela sentença estrangeira de pena em limite inferior ao mínimo admissível pela lei portuguesa</w:t>
      </w:r>
    </w:p>
    <w:p w:rsidR="0005127D" w:rsidRPr="006E5622" w:rsidRDefault="0005127D" w:rsidP="00C2602C">
      <w:pPr>
        <w:numPr>
          <w:ilvl w:val="0"/>
          <w:numId w:val="19"/>
        </w:numPr>
        <w:tabs>
          <w:tab w:val="left" w:pos="1276"/>
          <w:tab w:val="left" w:pos="1620"/>
        </w:tabs>
        <w:spacing w:before="120"/>
        <w:jc w:val="both"/>
        <w:rPr>
          <w:rFonts w:ascii="Arial Narrow" w:hAnsi="Arial Narrow"/>
        </w:rPr>
      </w:pPr>
      <w:r w:rsidRPr="00633245">
        <w:rPr>
          <w:rFonts w:ascii="Arial Narrow" w:hAnsi="Arial Narrow"/>
        </w:rPr>
        <w:t>A revisão e confirmação da sentença é da competência do Tribunal da Relação (artigo</w:t>
      </w:r>
      <w:r>
        <w:rPr>
          <w:rFonts w:ascii="Arial Narrow" w:hAnsi="Arial Narrow"/>
        </w:rPr>
        <w:t>s</w:t>
      </w:r>
      <w:r w:rsidRPr="00633245">
        <w:rPr>
          <w:rFonts w:ascii="Arial Narrow" w:hAnsi="Arial Narrow"/>
        </w:rPr>
        <w:t xml:space="preserve"> 235.º do CPP e 99.º, n.º 4, e 123.º, n.º 1, da Lei </w:t>
      </w:r>
      <w:r>
        <w:rPr>
          <w:rFonts w:ascii="Arial Narrow" w:hAnsi="Arial Narrow"/>
        </w:rPr>
        <w:t xml:space="preserve">n.º </w:t>
      </w:r>
      <w:r w:rsidRPr="00633245">
        <w:rPr>
          <w:rFonts w:ascii="Arial Narrow" w:hAnsi="Arial Narrow"/>
        </w:rPr>
        <w:t>144/99)</w:t>
      </w:r>
      <w:r>
        <w:rPr>
          <w:rFonts w:ascii="Arial Narrow" w:hAnsi="Arial Narrow"/>
        </w:rPr>
        <w:t>, o qual é igualmente competente para ordenar e recusar a entrega c</w:t>
      </w:r>
      <w:r w:rsidRPr="006E5622">
        <w:rPr>
          <w:rFonts w:ascii="Arial Narrow" w:hAnsi="Arial Narrow"/>
        </w:rPr>
        <w:t xml:space="preserve">om base no MDE (artigo 18, n.º 1, da Lei </w:t>
      </w:r>
      <w:r>
        <w:rPr>
          <w:rFonts w:ascii="Arial Narrow" w:hAnsi="Arial Narrow"/>
        </w:rPr>
        <w:t xml:space="preserve">n.º </w:t>
      </w:r>
      <w:r w:rsidRPr="006E5622">
        <w:rPr>
          <w:rFonts w:ascii="Arial Narrow" w:hAnsi="Arial Narrow"/>
        </w:rPr>
        <w:t>65/</w:t>
      </w:r>
      <w:r>
        <w:rPr>
          <w:rFonts w:ascii="Arial Narrow" w:hAnsi="Arial Narrow"/>
        </w:rPr>
        <w:t>2</w:t>
      </w:r>
      <w:r w:rsidRPr="006E5622">
        <w:rPr>
          <w:rFonts w:ascii="Arial Narrow" w:hAnsi="Arial Narrow"/>
        </w:rPr>
        <w:t>003);</w:t>
      </w:r>
    </w:p>
    <w:p w:rsidR="0005127D" w:rsidRPr="006E5622" w:rsidRDefault="0005127D" w:rsidP="00C2602C">
      <w:pPr>
        <w:numPr>
          <w:ilvl w:val="0"/>
          <w:numId w:val="19"/>
        </w:numPr>
        <w:tabs>
          <w:tab w:val="left" w:pos="1276"/>
          <w:tab w:val="left" w:pos="1620"/>
        </w:tabs>
        <w:spacing w:before="120"/>
        <w:jc w:val="both"/>
        <w:rPr>
          <w:rFonts w:ascii="Arial Narrow" w:hAnsi="Arial Narrow"/>
        </w:rPr>
      </w:pPr>
      <w:r w:rsidRPr="006E5622">
        <w:rPr>
          <w:rFonts w:ascii="Arial Narrow" w:hAnsi="Arial Narrow"/>
        </w:rPr>
        <w:t>A recusa de entrega só pode ocorrer desde que verificadas duas condições cumulativas:</w:t>
      </w:r>
    </w:p>
    <w:p w:rsidR="0005127D" w:rsidRPr="006E5622" w:rsidRDefault="0005127D" w:rsidP="00C2602C">
      <w:pPr>
        <w:numPr>
          <w:ilvl w:val="5"/>
          <w:numId w:val="20"/>
        </w:numPr>
        <w:tabs>
          <w:tab w:val="left" w:pos="1440"/>
          <w:tab w:val="left" w:pos="1620"/>
        </w:tabs>
        <w:spacing w:before="120"/>
        <w:jc w:val="both"/>
        <w:rPr>
          <w:rFonts w:ascii="Arial Narrow" w:hAnsi="Arial Narrow"/>
        </w:rPr>
      </w:pPr>
      <w:r w:rsidRPr="006E5622">
        <w:rPr>
          <w:rFonts w:ascii="Arial Narrow" w:hAnsi="Arial Narrow"/>
        </w:rPr>
        <w:t>Que o mandado de destine a cumprimento de pena;</w:t>
      </w:r>
      <w:r>
        <w:rPr>
          <w:rFonts w:ascii="Arial Narrow" w:hAnsi="Arial Narrow"/>
        </w:rPr>
        <w:t xml:space="preserve"> e</w:t>
      </w:r>
    </w:p>
    <w:p w:rsidR="0005127D" w:rsidRPr="006E5622" w:rsidRDefault="0005127D" w:rsidP="00C2602C">
      <w:pPr>
        <w:numPr>
          <w:ilvl w:val="5"/>
          <w:numId w:val="20"/>
        </w:numPr>
        <w:tabs>
          <w:tab w:val="left" w:pos="1440"/>
          <w:tab w:val="left" w:pos="1620"/>
        </w:tabs>
        <w:spacing w:before="120"/>
        <w:jc w:val="both"/>
        <w:rPr>
          <w:rFonts w:ascii="Arial Narrow" w:hAnsi="Arial Narrow"/>
        </w:rPr>
      </w:pPr>
      <w:r w:rsidRPr="006E5622">
        <w:rPr>
          <w:rFonts w:ascii="Arial Narrow" w:hAnsi="Arial Narrow"/>
        </w:rPr>
        <w:t>Que o Estado Português se comprometa a executar a pena em Portugal.</w:t>
      </w:r>
    </w:p>
    <w:p w:rsidR="0005127D" w:rsidRDefault="0005127D" w:rsidP="00C2602C">
      <w:pPr>
        <w:numPr>
          <w:ilvl w:val="0"/>
          <w:numId w:val="19"/>
        </w:numPr>
        <w:tabs>
          <w:tab w:val="left" w:pos="1276"/>
          <w:tab w:val="left" w:pos="1620"/>
        </w:tabs>
        <w:spacing w:before="120"/>
        <w:jc w:val="both"/>
        <w:rPr>
          <w:rFonts w:ascii="Arial Narrow" w:hAnsi="Arial Narrow"/>
        </w:rPr>
      </w:pPr>
      <w:r w:rsidRPr="006E5622">
        <w:rPr>
          <w:rFonts w:ascii="Arial Narrow" w:hAnsi="Arial Narrow"/>
        </w:rPr>
        <w:t>O que s</w:t>
      </w:r>
      <w:r>
        <w:rPr>
          <w:rFonts w:ascii="Arial Narrow" w:hAnsi="Arial Narrow"/>
        </w:rPr>
        <w:t>ignifica, desde logo, que o tribunal não pode recusar a entrega sem previamente dar como verificadas estas duas condições, nomeadamente que a sentença estrangeira é exequível, o que só sucede após revisão e confirmação;</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A Decisão-Quadro, que se limita ao MDE (cfr. preâmbulo, considerandos 6, 7 e 11), não regula, nem tinha que regular, os termos em que o Estado de execução deve exprimir o seu compromisso; esta matéria é da competência interna dos Estados-Membros, sem prejuízo de estes, no âmbito das suas relações externas, poderem acordar sobre normas comuns quanto à forma e meios de o fazer, nomeadamente no âmbito dos Tratados;</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 xml:space="preserve">Ao transpor a norma do n.º 6 do artigo 4.º da Decisão-Quadro do MDE nos termos em que o fez, através do artigo 12.º, n.º 1, al. g), da Lei n.º 65/2003, o legislador limitou-se a transcrever o texto daquele preceito sem conferir conteúdo normativo particular à expressão “se comprometa a executar aquela pena ou medida de segurança nos termos do seu direito nacional”; </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A transposição do n.º 6 do artigo 4.º da Decisão-Quadro do MDE pelo artigo 12.º, n.º 1, al. g), da Lei n.º 65/2003, não teve a intenção nem contém a potencialidade de afastar a aplicação do regime do artigo 96.º, n.º 6, da Lei n.º 144/99 às situações em que passou a ser utilizado o MDE em substituição do regime de extradição (infra 18.3);</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A norma procedimental aparentemente em falta – que deve regular “os termos” em que a execução tem lugar – encontra-se por via sistemática, por recurso ao critério substantivo para a decisão dos citados artigos</w:t>
      </w:r>
      <w:r w:rsidRPr="00633245">
        <w:rPr>
          <w:rFonts w:ascii="Arial Narrow" w:hAnsi="Arial Narrow"/>
        </w:rPr>
        <w:t xml:space="preserve"> 234, n.º 1, do CP</w:t>
      </w:r>
      <w:r>
        <w:rPr>
          <w:rFonts w:ascii="Arial Narrow" w:hAnsi="Arial Narrow"/>
        </w:rPr>
        <w:t>P e 100.º, n.º 1, da Lei n.º 144/99;</w:t>
      </w:r>
    </w:p>
    <w:p w:rsidR="0005127D" w:rsidRPr="00633245"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Não existindo instrumento jurídico específico da UE – pois, como se referiu supra, em 11.2, a Decisão-Quadro 2008/909/JAI, que vem regulamentar esta matéria, ainda não foi transposta para o direito interno –, há que examinar a questão à luz do direito vigente e verificar se é matéria que possa ser resolvida por decisão judicial ou se a sua resolução envolve órgãos não judiciais;</w:t>
      </w:r>
    </w:p>
    <w:p w:rsidR="0005127D" w:rsidRDefault="0005127D" w:rsidP="00C2602C">
      <w:pPr>
        <w:numPr>
          <w:ilvl w:val="0"/>
          <w:numId w:val="19"/>
        </w:numPr>
        <w:tabs>
          <w:tab w:val="left" w:pos="1276"/>
          <w:tab w:val="left" w:pos="1620"/>
        </w:tabs>
        <w:spacing w:before="120"/>
        <w:jc w:val="both"/>
        <w:rPr>
          <w:rFonts w:ascii="Arial Narrow" w:hAnsi="Arial Narrow"/>
        </w:rPr>
      </w:pPr>
      <w:r w:rsidRPr="00633245">
        <w:rPr>
          <w:rFonts w:ascii="Arial Narrow" w:hAnsi="Arial Narrow"/>
        </w:rPr>
        <w:t>Uma vez que a sentença estrangeira não tem força executiva em Portugal</w:t>
      </w:r>
      <w:r>
        <w:rPr>
          <w:rFonts w:ascii="Arial Narrow" w:hAnsi="Arial Narrow"/>
        </w:rPr>
        <w:t xml:space="preserve"> sem ser reconhecida, isto é, revista e confirmada pelo </w:t>
      </w:r>
      <w:r w:rsidRPr="00633245">
        <w:rPr>
          <w:rFonts w:ascii="Arial Narrow" w:hAnsi="Arial Narrow"/>
        </w:rPr>
        <w:t xml:space="preserve">Tribunal da Relação </w:t>
      </w:r>
      <w:r>
        <w:rPr>
          <w:rFonts w:ascii="Arial Narrow" w:hAnsi="Arial Narrow"/>
        </w:rPr>
        <w:t>(</w:t>
      </w:r>
      <w:r w:rsidRPr="00651659">
        <w:rPr>
          <w:rFonts w:ascii="Arial Narrow" w:hAnsi="Arial Narrow"/>
          <w:i/>
        </w:rPr>
        <w:t>supra</w:t>
      </w:r>
      <w:r>
        <w:rPr>
          <w:rFonts w:ascii="Arial Narrow" w:hAnsi="Arial Narrow"/>
        </w:rPr>
        <w:t>, 1.11.2 a 1.11.4), e não exigindo a lei portuguesa a necessidade de intervenção de órgão não jurisdicional no processo de reconhecimento, o “compromisso” previsto no artigo 12.º, n.º 1, al. g), da Lei 65/2003 mostra-se satisfeito com uma decisão deste tribunal que confira força executiva à decisão condenatória estrangeira identificada no formulário do MDE (em particular, campos b.2, c.2 e e.), nos termos do artigo 3.º, n.º 1, cujas informações o Tribunal da Relação julgou suficientes no despacho a que se refere o artigo 16.º, n.º 2, do mesmo diploma, em momento inicial do processo, com a eventual adição das informações suplementares solicitadas (n.º 3 do mesmo preceito);</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Não exigindo a lei, neste caso, a instauração de procedimento autónomo para reconhecimento da sentença condenatória estrangeira e limitando-se o reconhecimento a conferir executoriedade à decisão condenatória identificada no MDE – que não à decisão que constitui o MDE cuja executoriedade resulta da Decisão-Quadro do MDE e da Lei 65/2003, com base no princípio do reconhecimento mútuo –, pode e deve o Tribunal da Relação proferir decisão de reconhecimento da decisão condenatória no texto da decisão em que julga procedente o motivo de recusa, como condição que tem de julgar preenchida para a procedência deste motivo;</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Para o efeito deverá solicitar-se cópia integral da decisão condenatória ao Estado de emissão do MDE;</w:t>
      </w:r>
    </w:p>
    <w:p w:rsidR="0005127D" w:rsidRDefault="0005127D" w:rsidP="00C2602C">
      <w:pPr>
        <w:numPr>
          <w:ilvl w:val="0"/>
          <w:numId w:val="19"/>
        </w:numPr>
        <w:tabs>
          <w:tab w:val="left" w:pos="1276"/>
          <w:tab w:val="left" w:pos="1620"/>
        </w:tabs>
        <w:spacing w:before="120"/>
        <w:jc w:val="both"/>
        <w:rPr>
          <w:rFonts w:ascii="Arial Narrow" w:hAnsi="Arial Narrow"/>
        </w:rPr>
      </w:pPr>
      <w:r>
        <w:rPr>
          <w:rFonts w:ascii="Arial Narrow" w:hAnsi="Arial Narrow"/>
        </w:rPr>
        <w:t xml:space="preserve">A </w:t>
      </w:r>
      <w:r w:rsidRPr="00633245">
        <w:rPr>
          <w:rFonts w:ascii="Arial Narrow" w:hAnsi="Arial Narrow"/>
        </w:rPr>
        <w:t xml:space="preserve">decisão que </w:t>
      </w:r>
      <w:r>
        <w:rPr>
          <w:rFonts w:ascii="Arial Narrow" w:hAnsi="Arial Narrow"/>
        </w:rPr>
        <w:t xml:space="preserve">conhece e julga procedente a causa de </w:t>
      </w:r>
      <w:r w:rsidRPr="00633245">
        <w:rPr>
          <w:rFonts w:ascii="Arial Narrow" w:hAnsi="Arial Narrow"/>
        </w:rPr>
        <w:t>recusa deverá</w:t>
      </w:r>
      <w:r>
        <w:rPr>
          <w:rFonts w:ascii="Arial Narrow" w:hAnsi="Arial Narrow"/>
        </w:rPr>
        <w:t xml:space="preserve"> integrar a verificação das condições de que depende a recusa, nas quais se inclui a verificação e </w:t>
      </w:r>
      <w:r w:rsidRPr="00633245">
        <w:rPr>
          <w:rFonts w:ascii="Arial Narrow" w:hAnsi="Arial Narrow"/>
        </w:rPr>
        <w:t xml:space="preserve">a declaração de que a condenação estrangeira passa a ser executória </w:t>
      </w:r>
      <w:r>
        <w:rPr>
          <w:rFonts w:ascii="Arial Narrow" w:hAnsi="Arial Narrow"/>
        </w:rPr>
        <w:t xml:space="preserve">e será executada </w:t>
      </w:r>
      <w:r w:rsidRPr="00633245">
        <w:rPr>
          <w:rFonts w:ascii="Arial Narrow" w:hAnsi="Arial Narrow"/>
        </w:rPr>
        <w:t xml:space="preserve">em Portugal, </w:t>
      </w:r>
    </w:p>
    <w:p w:rsidR="0005127D" w:rsidRDefault="0005127D" w:rsidP="00697309">
      <w:pPr>
        <w:numPr>
          <w:ilvl w:val="1"/>
          <w:numId w:val="21"/>
        </w:numPr>
        <w:tabs>
          <w:tab w:val="left" w:pos="1276"/>
          <w:tab w:val="left" w:pos="2268"/>
        </w:tabs>
        <w:spacing w:before="120"/>
        <w:jc w:val="both"/>
        <w:rPr>
          <w:rFonts w:ascii="Arial Narrow" w:hAnsi="Arial Narrow"/>
        </w:rPr>
      </w:pPr>
      <w:r>
        <w:rPr>
          <w:rFonts w:ascii="Arial Narrow" w:hAnsi="Arial Narrow"/>
        </w:rPr>
        <w:t xml:space="preserve">com </w:t>
      </w:r>
      <w:r w:rsidRPr="00633245">
        <w:rPr>
          <w:rFonts w:ascii="Arial Narrow" w:hAnsi="Arial Narrow"/>
        </w:rPr>
        <w:t>a duração que lhe é fixada na sentença estrangeira</w:t>
      </w:r>
      <w:r>
        <w:rPr>
          <w:rFonts w:ascii="Arial Narrow" w:hAnsi="Arial Narrow"/>
        </w:rPr>
        <w:t>;</w:t>
      </w:r>
      <w:r w:rsidRPr="00633245">
        <w:rPr>
          <w:rFonts w:ascii="Arial Narrow" w:hAnsi="Arial Narrow"/>
        </w:rPr>
        <w:t xml:space="preserve"> </w:t>
      </w:r>
    </w:p>
    <w:p w:rsidR="0005127D" w:rsidRDefault="0005127D" w:rsidP="00697309">
      <w:pPr>
        <w:tabs>
          <w:tab w:val="left" w:pos="1276"/>
          <w:tab w:val="left" w:pos="2268"/>
        </w:tabs>
        <w:spacing w:before="120"/>
        <w:ind w:left="2253"/>
        <w:jc w:val="both"/>
        <w:rPr>
          <w:rFonts w:ascii="Arial Narrow" w:hAnsi="Arial Narrow"/>
        </w:rPr>
      </w:pPr>
      <w:r w:rsidRPr="00633245">
        <w:rPr>
          <w:rFonts w:ascii="Arial Narrow" w:hAnsi="Arial Narrow"/>
        </w:rPr>
        <w:t>ou</w:t>
      </w:r>
      <w:r>
        <w:rPr>
          <w:rFonts w:ascii="Arial Narrow" w:hAnsi="Arial Narrow"/>
        </w:rPr>
        <w:t>, sendo caso disso,</w:t>
      </w:r>
      <w:r w:rsidRPr="00633245">
        <w:rPr>
          <w:rFonts w:ascii="Arial Narrow" w:hAnsi="Arial Narrow"/>
        </w:rPr>
        <w:t xml:space="preserve"> </w:t>
      </w:r>
    </w:p>
    <w:p w:rsidR="0005127D" w:rsidRDefault="0005127D" w:rsidP="00697309">
      <w:pPr>
        <w:numPr>
          <w:ilvl w:val="1"/>
          <w:numId w:val="21"/>
        </w:numPr>
        <w:tabs>
          <w:tab w:val="left" w:pos="1276"/>
          <w:tab w:val="left" w:pos="2268"/>
        </w:tabs>
        <w:spacing w:before="120"/>
        <w:jc w:val="both"/>
        <w:rPr>
          <w:rFonts w:ascii="Arial Narrow" w:hAnsi="Arial Narrow"/>
        </w:rPr>
      </w:pPr>
      <w:r w:rsidRPr="00633245">
        <w:rPr>
          <w:rFonts w:ascii="Arial Narrow" w:hAnsi="Arial Narrow"/>
        </w:rPr>
        <w:t>com a limitação ao máximo permitido pela lei portuguesa, no caso de a pena ultrapassar este máximo, ou com conversão para pena que se assemelhe à aplicada, no caso de essa pena não estar prevista na lei portuguesa</w:t>
      </w:r>
      <w:r>
        <w:rPr>
          <w:rFonts w:ascii="Arial Narrow" w:hAnsi="Arial Narrow"/>
        </w:rPr>
        <w:t xml:space="preserve"> (artigo 237.º, n.º 3, do CPP).</w:t>
      </w:r>
    </w:p>
    <w:p w:rsidR="0005127D" w:rsidRPr="0095388F" w:rsidRDefault="0005127D" w:rsidP="00C2602C">
      <w:pPr>
        <w:numPr>
          <w:ilvl w:val="0"/>
          <w:numId w:val="19"/>
        </w:numPr>
        <w:tabs>
          <w:tab w:val="left" w:pos="1276"/>
          <w:tab w:val="left" w:pos="1620"/>
        </w:tabs>
        <w:spacing w:before="120"/>
        <w:jc w:val="both"/>
        <w:rPr>
          <w:rFonts w:ascii="Arial Narrow" w:hAnsi="Arial Narrow"/>
        </w:rPr>
      </w:pPr>
      <w:r w:rsidRPr="0095388F">
        <w:rPr>
          <w:rFonts w:ascii="Arial Narrow" w:hAnsi="Arial Narrow"/>
        </w:rPr>
        <w:t>Nesta conformidade, o Ministério Público deve suscitar</w:t>
      </w:r>
      <w:r>
        <w:rPr>
          <w:rFonts w:ascii="Arial Narrow" w:hAnsi="Arial Narrow"/>
        </w:rPr>
        <w:t xml:space="preserve"> </w:t>
      </w:r>
      <w:r w:rsidRPr="0095388F">
        <w:rPr>
          <w:rFonts w:ascii="Arial Narrow" w:hAnsi="Arial Narrow"/>
        </w:rPr>
        <w:t>prévia decisão conferindo força executiva à decisão condenatória estrangeira constante do MDE e que constitui fundamento deste, como condição essencial à procedência de motivo de recusa, na decisão que deste conhecer.</w:t>
      </w:r>
    </w:p>
    <w:p w:rsidR="0005127D" w:rsidRPr="00633245" w:rsidRDefault="0005127D" w:rsidP="00BF723E">
      <w:pPr>
        <w:numPr>
          <w:ilvl w:val="0"/>
          <w:numId w:val="36"/>
        </w:numPr>
        <w:tabs>
          <w:tab w:val="left" w:pos="567"/>
        </w:tabs>
        <w:spacing w:before="480"/>
        <w:ind w:left="567" w:hanging="567"/>
        <w:jc w:val="both"/>
        <w:rPr>
          <w:rFonts w:ascii="Arial Narrow" w:hAnsi="Arial Narrow"/>
          <w:b/>
          <w:i/>
        </w:rPr>
      </w:pPr>
      <w:r w:rsidRPr="00633245">
        <w:rPr>
          <w:rFonts w:ascii="Arial Narrow" w:hAnsi="Arial Narrow"/>
          <w:b/>
          <w:i/>
        </w:rPr>
        <w:t xml:space="preserve">Causa de recusa de execução obrigatória – ne bis in idem – artigos 11.º al. b), Lei </w:t>
      </w:r>
      <w:r>
        <w:rPr>
          <w:rFonts w:ascii="Arial Narrow" w:hAnsi="Arial Narrow"/>
          <w:b/>
          <w:i/>
        </w:rPr>
        <w:t xml:space="preserve">n.º </w:t>
      </w:r>
      <w:r w:rsidRPr="00633245">
        <w:rPr>
          <w:rFonts w:ascii="Arial Narrow" w:hAnsi="Arial Narrow"/>
          <w:b/>
          <w:i/>
        </w:rPr>
        <w:t xml:space="preserve">65/2003 e 3.º, n.º 2, da Decisão-Quadro </w:t>
      </w:r>
      <w:r>
        <w:rPr>
          <w:rFonts w:ascii="Arial Narrow" w:hAnsi="Arial Narrow"/>
          <w:b/>
          <w:i/>
        </w:rPr>
        <w:t>relativa ao</w:t>
      </w:r>
      <w:r w:rsidRPr="00633245">
        <w:rPr>
          <w:rFonts w:ascii="Arial Narrow" w:hAnsi="Arial Narrow"/>
          <w:b/>
          <w:i/>
        </w:rPr>
        <w:t xml:space="preserve"> MDE</w:t>
      </w:r>
    </w:p>
    <w:p w:rsidR="0005127D" w:rsidRDefault="0005127D" w:rsidP="00BF723E">
      <w:pPr>
        <w:numPr>
          <w:ilvl w:val="1"/>
          <w:numId w:val="36"/>
        </w:numPr>
        <w:spacing w:before="360"/>
        <w:ind w:left="992" w:hanging="635"/>
        <w:jc w:val="both"/>
        <w:rPr>
          <w:rFonts w:ascii="Arial Narrow" w:hAnsi="Arial Narrow"/>
        </w:rPr>
      </w:pPr>
      <w:r>
        <w:rPr>
          <w:rFonts w:ascii="Arial Narrow" w:hAnsi="Arial Narrow"/>
        </w:rPr>
        <w:t>Sobre este assunto, importa levar em consideração a jurisprudência do Tribunal de Justiça da UE.</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 xml:space="preserve">No </w:t>
      </w:r>
      <w:r w:rsidRPr="00633245">
        <w:rPr>
          <w:rFonts w:ascii="Arial Narrow" w:hAnsi="Arial Narrow"/>
        </w:rPr>
        <w:t xml:space="preserve">caso </w:t>
      </w:r>
      <w:r w:rsidRPr="00633245">
        <w:rPr>
          <w:rFonts w:ascii="Arial Narrow" w:hAnsi="Arial Narrow"/>
          <w:i/>
        </w:rPr>
        <w:t>Mantello</w:t>
      </w:r>
      <w:r w:rsidRPr="00633245">
        <w:rPr>
          <w:rFonts w:ascii="Arial Narrow" w:hAnsi="Arial Narrow"/>
        </w:rPr>
        <w:t xml:space="preserve">, Proc. </w:t>
      </w:r>
      <w:r>
        <w:rPr>
          <w:rFonts w:ascii="Arial Narrow" w:hAnsi="Arial Narrow"/>
        </w:rPr>
        <w:t>C-</w:t>
      </w:r>
      <w:r w:rsidRPr="00633245">
        <w:rPr>
          <w:rFonts w:ascii="Arial Narrow" w:hAnsi="Arial Narrow"/>
        </w:rPr>
        <w:t>261/09</w:t>
      </w:r>
      <w:r>
        <w:rPr>
          <w:rFonts w:ascii="Arial Narrow" w:hAnsi="Arial Narrow"/>
        </w:rPr>
        <w:t>:</w:t>
      </w:r>
    </w:p>
    <w:p w:rsidR="0005127D" w:rsidRDefault="0005127D" w:rsidP="00E8016E">
      <w:pPr>
        <w:numPr>
          <w:ilvl w:val="0"/>
          <w:numId w:val="22"/>
        </w:numPr>
        <w:tabs>
          <w:tab w:val="left" w:pos="1134"/>
        </w:tabs>
        <w:spacing w:before="240"/>
        <w:ind w:left="1134" w:hanging="425"/>
        <w:jc w:val="both"/>
        <w:rPr>
          <w:rFonts w:ascii="Arial Narrow" w:hAnsi="Arial Narrow"/>
        </w:rPr>
      </w:pPr>
      <w:r w:rsidRPr="00633245">
        <w:rPr>
          <w:rFonts w:ascii="Arial Narrow" w:hAnsi="Arial Narrow"/>
        </w:rPr>
        <w:t xml:space="preserve">O conceito </w:t>
      </w:r>
      <w:r>
        <w:rPr>
          <w:rFonts w:ascii="Arial Narrow" w:hAnsi="Arial Narrow"/>
        </w:rPr>
        <w:t xml:space="preserve">de </w:t>
      </w:r>
      <w:r w:rsidRPr="00633245">
        <w:rPr>
          <w:rFonts w:ascii="Arial Narrow" w:hAnsi="Arial Narrow"/>
        </w:rPr>
        <w:t>“mesmos factos</w:t>
      </w:r>
      <w:r>
        <w:rPr>
          <w:rFonts w:ascii="Arial Narrow" w:hAnsi="Arial Narrow"/>
        </w:rPr>
        <w:t>”</w:t>
      </w:r>
      <w:r w:rsidRPr="00633245">
        <w:rPr>
          <w:rFonts w:ascii="Arial Narrow" w:hAnsi="Arial Narrow"/>
        </w:rPr>
        <w:t xml:space="preserve"> é um conceito autónomo de Direito Europeu; quando a autoridade de emissão diz que a decisão não é definitiva, a autoridade de execução não tem motivo para considerar presente a causa de recusa</w:t>
      </w:r>
      <w:r>
        <w:rPr>
          <w:rFonts w:ascii="Arial Narrow" w:hAnsi="Arial Narrow"/>
        </w:rPr>
        <w:t>;</w:t>
      </w:r>
    </w:p>
    <w:p w:rsidR="0005127D" w:rsidRPr="004B1E64" w:rsidRDefault="0005127D" w:rsidP="00E8016E">
      <w:pPr>
        <w:numPr>
          <w:ilvl w:val="0"/>
          <w:numId w:val="22"/>
        </w:numPr>
        <w:tabs>
          <w:tab w:val="left" w:pos="1134"/>
          <w:tab w:val="left" w:pos="2520"/>
        </w:tabs>
        <w:spacing w:before="120"/>
        <w:ind w:left="1134" w:hanging="425"/>
        <w:jc w:val="both"/>
        <w:rPr>
          <w:rFonts w:ascii="Arial Narrow" w:hAnsi="Arial Narrow"/>
        </w:rPr>
      </w:pPr>
      <w:r w:rsidRPr="004B1E64">
        <w:rPr>
          <w:rFonts w:ascii="Arial Narrow" w:hAnsi="Arial Narrow"/>
        </w:rPr>
        <w:t>O conceito de “mesmos factos” que figura no artigo  3.º, n.</w:t>
      </w:r>
      <w:r w:rsidRPr="004B1E64">
        <w:rPr>
          <w:rFonts w:ascii="Arial Narrow" w:hAnsi="Arial Narrow"/>
          <w:i/>
        </w:rPr>
        <w:t xml:space="preserve">º 2, da </w:t>
      </w:r>
      <w:r w:rsidRPr="004B1E64">
        <w:rPr>
          <w:rFonts w:ascii="Arial Narrow" w:hAnsi="Arial Narrow"/>
        </w:rPr>
        <w:t xml:space="preserve">decisão-quadro não pode ser deixado à apreciação das autoridades judiciárias de cada Estado-Membro em função do seu direito nacional; decorre da exigência de aplicação uniforme do direito da União que, na medida em que essa disposição não contenha uma remissão para o direito dos Estados-Membros relativamente a este conceito, este último deve ter, em toda a União, uma interpretação autónoma e uniforme (v., por analogia, acórdão de 17.7.2008, </w:t>
      </w:r>
      <w:r w:rsidRPr="004B1E64">
        <w:rPr>
          <w:rFonts w:ascii="Arial Narrow" w:hAnsi="Arial Narrow"/>
          <w:i/>
        </w:rPr>
        <w:t>Kozłowski</w:t>
      </w:r>
      <w:r w:rsidRPr="004B1E64">
        <w:rPr>
          <w:rFonts w:ascii="Arial Narrow" w:hAnsi="Arial Narrow"/>
        </w:rPr>
        <w:t>, C-66/08, n.ºs 41 e 42)</w:t>
      </w:r>
      <w:r>
        <w:rPr>
          <w:rFonts w:ascii="Arial Narrow" w:hAnsi="Arial Narrow"/>
        </w:rPr>
        <w:t>;</w:t>
      </w:r>
    </w:p>
    <w:p w:rsidR="0005127D" w:rsidRPr="00C56557" w:rsidRDefault="0005127D" w:rsidP="00E8016E">
      <w:pPr>
        <w:numPr>
          <w:ilvl w:val="0"/>
          <w:numId w:val="22"/>
        </w:numPr>
        <w:tabs>
          <w:tab w:val="left" w:pos="1134"/>
          <w:tab w:val="left" w:pos="2520"/>
        </w:tabs>
        <w:spacing w:before="120"/>
        <w:ind w:left="1134" w:hanging="425"/>
        <w:jc w:val="both"/>
        <w:rPr>
          <w:rFonts w:ascii="Arial Narrow" w:hAnsi="Arial Narrow"/>
        </w:rPr>
      </w:pPr>
      <w:r w:rsidRPr="004B1E64">
        <w:rPr>
          <w:rFonts w:ascii="Arial Narrow" w:hAnsi="Arial Narrow"/>
        </w:rPr>
        <w:t>O conceito de «mesmos factos» consta também do artigo 54.º da Conve</w:t>
      </w:r>
      <w:r w:rsidRPr="004B1E64">
        <w:rPr>
          <w:rFonts w:ascii="Arial Narrow" w:hAnsi="Arial Narrow"/>
          <w:i/>
        </w:rPr>
        <w:t>nção de A</w:t>
      </w:r>
      <w:r w:rsidRPr="004B1E64">
        <w:rPr>
          <w:rFonts w:ascii="Arial Narrow" w:hAnsi="Arial Narrow"/>
        </w:rPr>
        <w:t>plicação do Acordo de Sche</w:t>
      </w:r>
      <w:r w:rsidRPr="00C56557">
        <w:rPr>
          <w:rFonts w:ascii="Arial Narrow" w:hAnsi="Arial Narrow"/>
        </w:rPr>
        <w:t xml:space="preserve">ngen (CAAS). Neste quadro, </w:t>
      </w:r>
      <w:r>
        <w:rPr>
          <w:rFonts w:ascii="Arial Narrow" w:hAnsi="Arial Narrow"/>
        </w:rPr>
        <w:t xml:space="preserve">o </w:t>
      </w:r>
      <w:r w:rsidRPr="00C56557">
        <w:rPr>
          <w:rFonts w:ascii="Arial Narrow" w:hAnsi="Arial Narrow"/>
        </w:rPr>
        <w:t xml:space="preserve">conceito foi interpretado como visando  apenas a materialidade dos factos, abrangendo um conjunto de circunstâncias concretas indissociavelmente ligadas entre si, independentemente da qualificação jurídica destes factos ou do interesse jurídico protegido (v. acórdãos de 9.3.2006, </w:t>
      </w:r>
      <w:r w:rsidRPr="00C56557">
        <w:rPr>
          <w:rFonts w:ascii="Arial Narrow" w:hAnsi="Arial Narrow"/>
          <w:i/>
        </w:rPr>
        <w:t>Van Esbroeck</w:t>
      </w:r>
      <w:r w:rsidRPr="00C56557">
        <w:rPr>
          <w:rFonts w:ascii="Arial Narrow" w:hAnsi="Arial Narrow"/>
        </w:rPr>
        <w:t>, C-436/04, n.</w:t>
      </w:r>
      <w:r>
        <w:rPr>
          <w:rFonts w:ascii="Arial Narrow" w:hAnsi="Arial Narrow"/>
        </w:rPr>
        <w:t>º</w:t>
      </w:r>
      <w:r w:rsidRPr="00C56557">
        <w:rPr>
          <w:rFonts w:ascii="Arial Narrow" w:hAnsi="Arial Narrow"/>
        </w:rPr>
        <w:t xml:space="preserve">s 27, 32 e 36, e de 28.9. 2006, </w:t>
      </w:r>
      <w:r w:rsidRPr="00C56557">
        <w:rPr>
          <w:rFonts w:ascii="Arial Narrow" w:hAnsi="Arial Narrow"/>
          <w:i/>
        </w:rPr>
        <w:t>Van Straaten</w:t>
      </w:r>
      <w:r w:rsidRPr="00C56557">
        <w:rPr>
          <w:rFonts w:ascii="Arial Narrow" w:hAnsi="Arial Narrow"/>
        </w:rPr>
        <w:t>, C-150/05, n.</w:t>
      </w:r>
      <w:r>
        <w:rPr>
          <w:rFonts w:ascii="Arial Narrow" w:hAnsi="Arial Narrow"/>
        </w:rPr>
        <w:t>º</w:t>
      </w:r>
      <w:r w:rsidRPr="00C56557">
        <w:rPr>
          <w:rFonts w:ascii="Arial Narrow" w:hAnsi="Arial Narrow"/>
        </w:rPr>
        <w:t>s 41, 47 e 48)</w:t>
      </w:r>
      <w:r>
        <w:rPr>
          <w:rFonts w:ascii="Arial Narrow" w:hAnsi="Arial Narrow"/>
        </w:rPr>
        <w:t>;</w:t>
      </w:r>
    </w:p>
    <w:p w:rsidR="0005127D" w:rsidRPr="00C56557" w:rsidRDefault="0005127D" w:rsidP="00E8016E">
      <w:pPr>
        <w:numPr>
          <w:ilvl w:val="0"/>
          <w:numId w:val="22"/>
        </w:numPr>
        <w:tabs>
          <w:tab w:val="left" w:pos="1134"/>
          <w:tab w:val="left" w:pos="2520"/>
        </w:tabs>
        <w:spacing w:before="120"/>
        <w:ind w:left="1134" w:hanging="425"/>
        <w:jc w:val="both"/>
        <w:rPr>
          <w:rFonts w:ascii="Arial Narrow" w:hAnsi="Arial Narrow"/>
        </w:rPr>
      </w:pPr>
      <w:r w:rsidRPr="00C56557">
        <w:rPr>
          <w:rFonts w:ascii="Arial Narrow" w:hAnsi="Arial Narrow"/>
        </w:rPr>
        <w:t>Tendo em conta o objectivo comum dos artigos 54.</w:t>
      </w:r>
      <w:r>
        <w:rPr>
          <w:rFonts w:ascii="Arial Narrow" w:hAnsi="Arial Narrow"/>
        </w:rPr>
        <w:t>º</w:t>
      </w:r>
      <w:r w:rsidRPr="00C56557">
        <w:rPr>
          <w:rFonts w:ascii="Arial Narrow" w:hAnsi="Arial Narrow"/>
        </w:rPr>
        <w:t xml:space="preserve">  da CAAS e 3.</w:t>
      </w:r>
      <w:r>
        <w:rPr>
          <w:rFonts w:ascii="Arial Narrow" w:hAnsi="Arial Narrow"/>
        </w:rPr>
        <w:t>º</w:t>
      </w:r>
      <w:r w:rsidRPr="00C56557">
        <w:rPr>
          <w:rFonts w:ascii="Arial Narrow" w:hAnsi="Arial Narrow"/>
        </w:rPr>
        <w:t>, n.</w:t>
      </w:r>
      <w:r>
        <w:rPr>
          <w:rFonts w:ascii="Arial Narrow" w:hAnsi="Arial Narrow"/>
        </w:rPr>
        <w:t>º</w:t>
      </w:r>
      <w:r w:rsidRPr="00C56557">
        <w:rPr>
          <w:rFonts w:ascii="Arial Narrow" w:hAnsi="Arial Narrow"/>
        </w:rPr>
        <w:t xml:space="preserve">  2, da decisão</w:t>
      </w:r>
      <w:r>
        <w:rPr>
          <w:rFonts w:ascii="Arial Narrow" w:hAnsi="Arial Narrow"/>
        </w:rPr>
        <w:t>-</w:t>
      </w:r>
      <w:r w:rsidRPr="00C56557">
        <w:rPr>
          <w:rFonts w:ascii="Arial Narrow" w:hAnsi="Arial Narrow"/>
        </w:rPr>
        <w:t>quadro, que consiste em evitar que uma pessoa seja de novo submetida a um procedimento penal ou julgada pelos mesmos factos, há que admitir que a interpretação deste conceito apresentada no quadro da CAAS é igualmente válida no contexto da decisão-quadro</w:t>
      </w:r>
      <w:r>
        <w:rPr>
          <w:rFonts w:ascii="Arial Narrow" w:hAnsi="Arial Narrow"/>
        </w:rPr>
        <w:t>;</w:t>
      </w:r>
    </w:p>
    <w:p w:rsidR="0005127D" w:rsidRPr="00C56557" w:rsidRDefault="0005127D" w:rsidP="00E8016E">
      <w:pPr>
        <w:numPr>
          <w:ilvl w:val="0"/>
          <w:numId w:val="22"/>
        </w:numPr>
        <w:tabs>
          <w:tab w:val="left" w:pos="1134"/>
          <w:tab w:val="left" w:pos="2520"/>
        </w:tabs>
        <w:spacing w:before="120"/>
        <w:ind w:left="1134" w:hanging="425"/>
        <w:jc w:val="both"/>
        <w:rPr>
          <w:rFonts w:ascii="Arial Narrow" w:hAnsi="Arial Narrow"/>
        </w:rPr>
      </w:pPr>
      <w:r w:rsidRPr="00C56557">
        <w:rPr>
          <w:rFonts w:ascii="Arial Narrow" w:hAnsi="Arial Narrow"/>
        </w:rPr>
        <w:t>Quando uma autoridade judiciária de execução é notificada da existência, num Estado-Membro, de uma sentença definitiva pelos «mesmos factos» que os visados no mandado de detenção europeu que lhe é submetido, a referida autoridade deve, em conformidade com o artigo 3.º, n.º 2, da decisão-quadro, recusar a execução do referido mandado de detenção, na condição de que, em caso de condenação, a pena tenha sido cumprida ou esteja actualmente em cumprimento ou não possa já ser cumprida segundo a legislação do Estado-Membro de condenação</w:t>
      </w:r>
      <w:r>
        <w:rPr>
          <w:rFonts w:ascii="Arial Narrow" w:hAnsi="Arial Narrow"/>
        </w:rPr>
        <w:t>;</w:t>
      </w:r>
    </w:p>
    <w:p w:rsidR="0005127D" w:rsidRPr="00C56557" w:rsidRDefault="0005127D" w:rsidP="00E8016E">
      <w:pPr>
        <w:numPr>
          <w:ilvl w:val="0"/>
          <w:numId w:val="22"/>
        </w:numPr>
        <w:tabs>
          <w:tab w:val="left" w:pos="1134"/>
          <w:tab w:val="left" w:pos="2520"/>
        </w:tabs>
        <w:spacing w:before="120"/>
        <w:ind w:left="1134" w:hanging="425"/>
        <w:jc w:val="both"/>
        <w:rPr>
          <w:rFonts w:ascii="Arial Narrow" w:hAnsi="Arial Narrow"/>
        </w:rPr>
      </w:pPr>
      <w:r w:rsidRPr="00C56557">
        <w:rPr>
          <w:rFonts w:ascii="Arial Narrow" w:hAnsi="Arial Narrow"/>
        </w:rPr>
        <w:t>Uma pessoa procurada é considerada definitivamente julgada pelos mesmos factos na acepção do artigo 3.</w:t>
      </w:r>
      <w:r>
        <w:rPr>
          <w:rFonts w:ascii="Arial Narrow" w:hAnsi="Arial Narrow"/>
        </w:rPr>
        <w:t>º</w:t>
      </w:r>
      <w:r w:rsidRPr="00C56557">
        <w:rPr>
          <w:rFonts w:ascii="Arial Narrow" w:hAnsi="Arial Narrow"/>
        </w:rPr>
        <w:t>, n.</w:t>
      </w:r>
      <w:r>
        <w:rPr>
          <w:rFonts w:ascii="Arial Narrow" w:hAnsi="Arial Narrow"/>
        </w:rPr>
        <w:t>º</w:t>
      </w:r>
      <w:r w:rsidRPr="00C56557">
        <w:rPr>
          <w:rFonts w:ascii="Arial Narrow" w:hAnsi="Arial Narrow"/>
        </w:rPr>
        <w:t xml:space="preserve"> 2, da decisão-quadro quando, na sequência de um processo penal, a acção pública fica definitivamente extinta (v., por analogia, acórdãos de 11.2.2003, </w:t>
      </w:r>
      <w:r w:rsidRPr="00C56557">
        <w:rPr>
          <w:rFonts w:ascii="Arial Narrow" w:hAnsi="Arial Narrow"/>
          <w:i/>
        </w:rPr>
        <w:t>Gözütok e Brügge</w:t>
      </w:r>
      <w:r w:rsidRPr="00C56557">
        <w:rPr>
          <w:rFonts w:ascii="Arial Narrow" w:hAnsi="Arial Narrow"/>
        </w:rPr>
        <w:t xml:space="preserve">, C-187/01 e C-385/01, n.º 30, e de 22.12.2008, </w:t>
      </w:r>
      <w:r w:rsidRPr="00C56557">
        <w:rPr>
          <w:rFonts w:ascii="Arial Narrow" w:hAnsi="Arial Narrow"/>
          <w:i/>
        </w:rPr>
        <w:t>Turanský,</w:t>
      </w:r>
      <w:r w:rsidRPr="00C56557">
        <w:rPr>
          <w:rFonts w:ascii="Arial Narrow" w:hAnsi="Arial Narrow"/>
        </w:rPr>
        <w:t xml:space="preserve"> C-491/07, n.º 32) ou ainda quando as autoridades judiciárias de um Estado-Membro proferiram uma decisão que absolve definitivamente o arguido dos factos de que foi acusado (v., por analogia, acórdãos </w:t>
      </w:r>
      <w:r w:rsidRPr="00C56557">
        <w:rPr>
          <w:rFonts w:ascii="Arial Narrow" w:hAnsi="Arial Narrow"/>
          <w:i/>
        </w:rPr>
        <w:t>Van Straaten</w:t>
      </w:r>
      <w:r w:rsidRPr="00C56557">
        <w:rPr>
          <w:rFonts w:ascii="Arial Narrow" w:hAnsi="Arial Narrow"/>
        </w:rPr>
        <w:t xml:space="preserve">, n.º.61, e </w:t>
      </w:r>
      <w:r w:rsidRPr="00C56557">
        <w:rPr>
          <w:rFonts w:ascii="Arial Narrow" w:hAnsi="Arial Narrow"/>
          <w:i/>
        </w:rPr>
        <w:t xml:space="preserve">Turanský, </w:t>
      </w:r>
      <w:r w:rsidRPr="00C56557">
        <w:rPr>
          <w:rFonts w:ascii="Arial Narrow" w:hAnsi="Arial Narrow"/>
        </w:rPr>
        <w:t>n.º 33).</w:t>
      </w:r>
    </w:p>
    <w:p w:rsidR="0005127D" w:rsidRPr="00C56557" w:rsidRDefault="0005127D" w:rsidP="00E8016E">
      <w:pPr>
        <w:numPr>
          <w:ilvl w:val="0"/>
          <w:numId w:val="22"/>
        </w:numPr>
        <w:tabs>
          <w:tab w:val="left" w:pos="1134"/>
          <w:tab w:val="left" w:pos="2520"/>
        </w:tabs>
        <w:spacing w:before="120"/>
        <w:ind w:left="1134" w:hanging="425"/>
        <w:jc w:val="both"/>
        <w:rPr>
          <w:rFonts w:ascii="Arial Narrow" w:hAnsi="Arial Narrow"/>
        </w:rPr>
      </w:pPr>
      <w:r w:rsidRPr="00C56557">
        <w:rPr>
          <w:rFonts w:ascii="Arial Narrow" w:hAnsi="Arial Narrow"/>
        </w:rPr>
        <w:t xml:space="preserve">O carácter «definitivo» de uma sentença referido no artigo 3.º, n.º 2, da decisão-quadro resulta do direito do Estado-Membro onde foi proferida essa sentença. Assim, uma decisão que, segundo o direito do Estado-Membro que instaurou um procedimento penal contra uma pessoa, não extingue definitivamente a acção pública a nível nacional em relação a determinados factos não pode ter, em princípio, por efeito constituir um obstáculo processual a que sejam eventualmente instauradas ou prosseguidas acções penais pelos mesmos factos contra essa pessoa num dos Estados-Membros da União (v., por analogia, acórdão </w:t>
      </w:r>
      <w:r w:rsidRPr="00C56557">
        <w:rPr>
          <w:rFonts w:ascii="Arial Narrow" w:hAnsi="Arial Narrow"/>
          <w:i/>
        </w:rPr>
        <w:t>Turanský</w:t>
      </w:r>
      <w:r w:rsidRPr="00C56557">
        <w:rPr>
          <w:rFonts w:ascii="Arial Narrow" w:hAnsi="Arial Narrow"/>
        </w:rPr>
        <w:t>, n.º 36).</w:t>
      </w:r>
    </w:p>
    <w:p w:rsidR="0005127D" w:rsidRPr="00633245" w:rsidRDefault="0005127D" w:rsidP="00BF723E">
      <w:pPr>
        <w:numPr>
          <w:ilvl w:val="1"/>
          <w:numId w:val="36"/>
        </w:numPr>
        <w:spacing w:before="240"/>
        <w:ind w:left="992" w:hanging="635"/>
        <w:jc w:val="both"/>
        <w:rPr>
          <w:rFonts w:ascii="Arial Narrow" w:hAnsi="Arial Narrow"/>
        </w:rPr>
      </w:pPr>
      <w:r w:rsidRPr="00633245">
        <w:rPr>
          <w:rFonts w:ascii="Arial Narrow" w:hAnsi="Arial Narrow"/>
        </w:rPr>
        <w:t>Sobre o conceito de “</w:t>
      </w:r>
      <w:r w:rsidRPr="00C56557">
        <w:rPr>
          <w:rFonts w:ascii="Arial Narrow" w:hAnsi="Arial Narrow"/>
          <w:i/>
        </w:rPr>
        <w:t>ne bis in idem</w:t>
      </w:r>
      <w:r w:rsidRPr="00633245">
        <w:rPr>
          <w:rFonts w:ascii="Arial Narrow" w:hAnsi="Arial Narrow"/>
        </w:rPr>
        <w:t>”, referido no artigo 54.º da Convenção de aplicação do acordo de Schengen</w:t>
      </w:r>
      <w:r>
        <w:rPr>
          <w:rFonts w:ascii="Arial Narrow" w:hAnsi="Arial Narrow"/>
        </w:rPr>
        <w:t>,</w:t>
      </w:r>
      <w:r w:rsidRPr="00633245">
        <w:rPr>
          <w:rFonts w:ascii="Arial Narrow" w:hAnsi="Arial Narrow"/>
        </w:rPr>
        <w:t xml:space="preserve"> o Tribunal de Justiça da UE proferiu os seguintes acórdãos:</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11.2.2003 (casos </w:t>
      </w:r>
      <w:r w:rsidRPr="00633245">
        <w:rPr>
          <w:rFonts w:ascii="Arial Narrow" w:hAnsi="Arial Narrow"/>
          <w:i/>
        </w:rPr>
        <w:t>Gozutok e Brugge</w:t>
      </w:r>
      <w:r w:rsidRPr="00633245">
        <w:rPr>
          <w:rFonts w:ascii="Arial Narrow" w:hAnsi="Arial Narrow"/>
        </w:rPr>
        <w:t xml:space="preserve"> Proc. C-187/01 e C-385/01)</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10.3.2005 (caso </w:t>
      </w:r>
      <w:r w:rsidRPr="00824911">
        <w:rPr>
          <w:rFonts w:ascii="Arial Narrow" w:hAnsi="Arial Narrow"/>
          <w:i/>
        </w:rPr>
        <w:t>Miraglia,</w:t>
      </w:r>
      <w:r w:rsidRPr="00633245">
        <w:rPr>
          <w:rFonts w:ascii="Arial Narrow" w:hAnsi="Arial Narrow"/>
        </w:rPr>
        <w:t xml:space="preserve"> Proc. 469/03)</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9.3.2006 (caso </w:t>
      </w:r>
      <w:r w:rsidRPr="00824911">
        <w:rPr>
          <w:rFonts w:ascii="Arial Narrow" w:hAnsi="Arial Narrow"/>
          <w:i/>
        </w:rPr>
        <w:t>Van Esbroeck</w:t>
      </w:r>
      <w:r w:rsidRPr="00633245">
        <w:rPr>
          <w:rFonts w:ascii="Arial Narrow" w:hAnsi="Arial Narrow"/>
        </w:rPr>
        <w:t>, Proc. C-436/04)</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28.9.2006 (caso </w:t>
      </w:r>
      <w:r w:rsidRPr="00824911">
        <w:rPr>
          <w:rFonts w:ascii="Arial Narrow" w:hAnsi="Arial Narrow"/>
          <w:i/>
        </w:rPr>
        <w:t>Gasparini e outros</w:t>
      </w:r>
      <w:r w:rsidRPr="00633245">
        <w:rPr>
          <w:rFonts w:ascii="Arial Narrow" w:hAnsi="Arial Narrow"/>
        </w:rPr>
        <w:t>, Proc. C-467/04)</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28.9.2006 (caso </w:t>
      </w:r>
      <w:r w:rsidRPr="00824911">
        <w:rPr>
          <w:rFonts w:ascii="Arial Narrow" w:hAnsi="Arial Narrow"/>
          <w:i/>
        </w:rPr>
        <w:t>Van Straaten</w:t>
      </w:r>
      <w:r w:rsidRPr="00633245">
        <w:rPr>
          <w:rFonts w:ascii="Arial Narrow" w:hAnsi="Arial Narrow"/>
        </w:rPr>
        <w:t xml:space="preserve"> e outros, Proc. C-150/05)</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18.7.2007 (caso </w:t>
      </w:r>
      <w:r w:rsidRPr="00824911">
        <w:rPr>
          <w:rFonts w:ascii="Arial Narrow" w:hAnsi="Arial Narrow"/>
          <w:i/>
        </w:rPr>
        <w:t>Kretzinger,</w:t>
      </w:r>
      <w:r w:rsidRPr="00633245">
        <w:rPr>
          <w:rFonts w:ascii="Arial Narrow" w:hAnsi="Arial Narrow"/>
        </w:rPr>
        <w:t xml:space="preserve"> Proc. C-288/05)</w:t>
      </w:r>
    </w:p>
    <w:p w:rsidR="0005127D" w:rsidRPr="00633245"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18.7.2007 (caso </w:t>
      </w:r>
      <w:r w:rsidRPr="00824911">
        <w:rPr>
          <w:rFonts w:ascii="Arial Narrow" w:hAnsi="Arial Narrow"/>
          <w:i/>
        </w:rPr>
        <w:t>Kraaijenbrink</w:t>
      </w:r>
      <w:r w:rsidRPr="00633245">
        <w:rPr>
          <w:rFonts w:ascii="Arial Narrow" w:hAnsi="Arial Narrow"/>
        </w:rPr>
        <w:t>, Proc. C-367/05)</w:t>
      </w:r>
    </w:p>
    <w:p w:rsidR="0005127D" w:rsidRDefault="0005127D" w:rsidP="00913D5B">
      <w:pPr>
        <w:tabs>
          <w:tab w:val="left" w:pos="1134"/>
        </w:tabs>
        <w:spacing w:before="120"/>
        <w:ind w:left="1418"/>
        <w:jc w:val="both"/>
        <w:rPr>
          <w:rFonts w:ascii="Arial Narrow" w:hAnsi="Arial Narrow"/>
        </w:rPr>
      </w:pPr>
      <w:r w:rsidRPr="00633245">
        <w:rPr>
          <w:rFonts w:ascii="Arial Narrow" w:hAnsi="Arial Narrow"/>
        </w:rPr>
        <w:t xml:space="preserve">acórdão de 11.12.2008 (caso </w:t>
      </w:r>
      <w:r w:rsidRPr="00824911">
        <w:rPr>
          <w:rFonts w:ascii="Arial Narrow" w:hAnsi="Arial Narrow"/>
          <w:i/>
        </w:rPr>
        <w:t>Bourquain</w:t>
      </w:r>
      <w:r w:rsidRPr="00633245">
        <w:rPr>
          <w:rFonts w:ascii="Arial Narrow" w:hAnsi="Arial Narrow"/>
        </w:rPr>
        <w:t>, Proc. C-297/07)</w:t>
      </w:r>
    </w:p>
    <w:p w:rsidR="0005127D" w:rsidRPr="00633245" w:rsidRDefault="0005127D" w:rsidP="00913D5B">
      <w:pPr>
        <w:tabs>
          <w:tab w:val="left" w:pos="1440"/>
        </w:tabs>
        <w:spacing w:before="120"/>
        <w:ind w:left="1152"/>
        <w:jc w:val="both"/>
        <w:rPr>
          <w:rFonts w:ascii="Arial Narrow" w:hAnsi="Arial Narrow"/>
        </w:rPr>
      </w:pPr>
      <w:r w:rsidRPr="00633245">
        <w:rPr>
          <w:rFonts w:ascii="Arial Narrow" w:hAnsi="Arial Narrow"/>
        </w:rPr>
        <w:t>Sobre o valor da interpretação pelo Tribunal de Justiça da UE cf. supra 9.</w:t>
      </w:r>
      <w:r>
        <w:rPr>
          <w:rFonts w:ascii="Arial Narrow" w:hAnsi="Arial Narrow"/>
        </w:rPr>
        <w:t>2</w:t>
      </w:r>
      <w:r w:rsidRPr="00633245">
        <w:rPr>
          <w:rFonts w:ascii="Arial Narrow" w:hAnsi="Arial Narrow"/>
        </w:rPr>
        <w:t>.</w:t>
      </w:r>
    </w:p>
    <w:p w:rsidR="0005127D" w:rsidRPr="00633245" w:rsidRDefault="0005127D" w:rsidP="00BF723E">
      <w:pPr>
        <w:numPr>
          <w:ilvl w:val="0"/>
          <w:numId w:val="36"/>
        </w:numPr>
        <w:tabs>
          <w:tab w:val="left" w:pos="567"/>
        </w:tabs>
        <w:spacing w:before="480"/>
        <w:ind w:left="567" w:hanging="567"/>
        <w:jc w:val="both"/>
        <w:rPr>
          <w:rFonts w:ascii="Arial Narrow" w:hAnsi="Arial Narrow"/>
          <w:b/>
          <w:i/>
        </w:rPr>
      </w:pPr>
      <w:r w:rsidRPr="00633245">
        <w:rPr>
          <w:rFonts w:ascii="Arial Narrow" w:hAnsi="Arial Narrow"/>
          <w:b/>
          <w:i/>
        </w:rPr>
        <w:t>Cumprimento dos prazos</w:t>
      </w:r>
      <w:r>
        <w:rPr>
          <w:rFonts w:ascii="Arial Narrow" w:hAnsi="Arial Narrow"/>
          <w:b/>
          <w:i/>
        </w:rPr>
        <w:t xml:space="preserve"> de entrega</w:t>
      </w:r>
      <w:r w:rsidRPr="00633245">
        <w:rPr>
          <w:rFonts w:ascii="Arial Narrow" w:hAnsi="Arial Narrow"/>
          <w:b/>
          <w:i/>
        </w:rPr>
        <w:t xml:space="preserve">; comunicação de atrasos à Eurojust – </w:t>
      </w:r>
      <w:r>
        <w:rPr>
          <w:rFonts w:ascii="Arial Narrow" w:hAnsi="Arial Narrow"/>
          <w:b/>
          <w:i/>
        </w:rPr>
        <w:t>artigo</w:t>
      </w:r>
      <w:r w:rsidRPr="00633245">
        <w:rPr>
          <w:rFonts w:ascii="Arial Narrow" w:hAnsi="Arial Narrow"/>
          <w:b/>
          <w:i/>
        </w:rPr>
        <w:t xml:space="preserve"> 26</w:t>
      </w:r>
      <w:r>
        <w:rPr>
          <w:rFonts w:ascii="Arial Narrow" w:hAnsi="Arial Narrow"/>
          <w:b/>
          <w:i/>
        </w:rPr>
        <w:t xml:space="preserve">.º, n.º </w:t>
      </w:r>
      <w:r w:rsidRPr="00633245">
        <w:rPr>
          <w:rFonts w:ascii="Arial Narrow" w:hAnsi="Arial Narrow"/>
          <w:b/>
          <w:i/>
        </w:rPr>
        <w:t>5</w:t>
      </w:r>
      <w:r>
        <w:rPr>
          <w:rFonts w:ascii="Arial Narrow" w:hAnsi="Arial Narrow"/>
          <w:b/>
          <w:i/>
        </w:rPr>
        <w:t>, da Lei n.º 65/2003</w:t>
      </w:r>
    </w:p>
    <w:p w:rsidR="0005127D" w:rsidRPr="0083229C" w:rsidRDefault="0005127D" w:rsidP="00BF723E">
      <w:pPr>
        <w:numPr>
          <w:ilvl w:val="1"/>
          <w:numId w:val="36"/>
        </w:numPr>
        <w:spacing w:before="360"/>
        <w:ind w:left="992" w:hanging="635"/>
        <w:jc w:val="both"/>
        <w:rPr>
          <w:rFonts w:ascii="Arial Narrow" w:hAnsi="Arial Narrow"/>
        </w:rPr>
      </w:pPr>
      <w:r w:rsidRPr="0083229C">
        <w:rPr>
          <w:rFonts w:ascii="Arial Narrow" w:hAnsi="Arial Narrow"/>
        </w:rPr>
        <w:t>O artigo 26.º, n.º 5, da Lei 65/2003 obriga a Procuradoria-Geral da República a comunicar os atrasos de cumprimento dos prazos referidos nos n.ºs 1</w:t>
      </w:r>
      <w:r>
        <w:rPr>
          <w:rFonts w:ascii="Arial Narrow" w:hAnsi="Arial Narrow"/>
        </w:rPr>
        <w:t>, 2 e 3</w:t>
      </w:r>
      <w:r w:rsidRPr="0083229C">
        <w:rPr>
          <w:rFonts w:ascii="Arial Narrow" w:hAnsi="Arial Narrow"/>
        </w:rPr>
        <w:t xml:space="preserve"> à </w:t>
      </w:r>
      <w:r w:rsidRPr="0083229C">
        <w:rPr>
          <w:rFonts w:ascii="Arial Narrow" w:hAnsi="Arial Narrow"/>
          <w:smallCaps/>
        </w:rPr>
        <w:t>Eurojust</w:t>
      </w:r>
      <w:r w:rsidRPr="0083229C">
        <w:rPr>
          <w:rFonts w:ascii="Arial Narrow" w:hAnsi="Arial Narrow"/>
        </w:rPr>
        <w:t xml:space="preserve">, assunto a que se refere a circular n.º 15/2004, de 18 de Novembro, nos termos da qual as comunicações devem ser efectuadas à Procuradoria-Geral da República e ao Membro Nacional da </w:t>
      </w:r>
      <w:r w:rsidRPr="0083229C">
        <w:rPr>
          <w:rFonts w:ascii="Arial Narrow" w:hAnsi="Arial Narrow"/>
          <w:smallCaps/>
        </w:rPr>
        <w:t>Eurojust</w:t>
      </w:r>
      <w:r w:rsidRPr="0083229C">
        <w:rPr>
          <w:rFonts w:ascii="Arial Narrow" w:hAnsi="Arial Narrow"/>
        </w:rPr>
        <w:t>.</w:t>
      </w:r>
    </w:p>
    <w:p w:rsidR="0005127D" w:rsidRPr="0083229C" w:rsidRDefault="0005127D" w:rsidP="00913D5B">
      <w:pPr>
        <w:spacing w:before="120"/>
        <w:ind w:left="1418"/>
        <w:jc w:val="both"/>
        <w:rPr>
          <w:rFonts w:ascii="Arial Narrow" w:hAnsi="Arial Narrow"/>
          <w:sz w:val="22"/>
        </w:rPr>
      </w:pPr>
      <w:r w:rsidRPr="0083229C">
        <w:rPr>
          <w:rFonts w:ascii="Arial Narrow" w:hAnsi="Arial Narrow"/>
          <w:sz w:val="22"/>
        </w:rPr>
        <w:t xml:space="preserve">Tem sido prática corrente o Membro Nacional da </w:t>
      </w:r>
      <w:r w:rsidRPr="0083229C">
        <w:rPr>
          <w:rFonts w:ascii="Arial Narrow" w:hAnsi="Arial Narrow"/>
          <w:smallCaps/>
          <w:sz w:val="22"/>
        </w:rPr>
        <w:t>Eurojust</w:t>
      </w:r>
      <w:r w:rsidRPr="0083229C">
        <w:rPr>
          <w:rFonts w:ascii="Arial Narrow" w:hAnsi="Arial Narrow"/>
          <w:sz w:val="22"/>
        </w:rPr>
        <w:t xml:space="preserve"> solicitar, no início de cada ano, as informações relativas ao ano civil anterior abrangendo a identificação dos casos, as causas dos atrasos e as diligências efectuadas para superação das dificuldades.</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A fim de simplificar esta tarefa</w:t>
      </w:r>
      <w:r w:rsidRPr="00633245">
        <w:rPr>
          <w:rFonts w:ascii="Arial Narrow" w:hAnsi="Arial Narrow"/>
        </w:rPr>
        <w:t>, os serviços do MP nesta Relação proced</w:t>
      </w:r>
      <w:r>
        <w:rPr>
          <w:rFonts w:ascii="Arial Narrow" w:hAnsi="Arial Narrow"/>
        </w:rPr>
        <w:t>e</w:t>
      </w:r>
      <w:r w:rsidRPr="00633245">
        <w:rPr>
          <w:rFonts w:ascii="Arial Narrow" w:hAnsi="Arial Narrow"/>
        </w:rPr>
        <w:t>m a um controlo caso a caso, à medida que as decisões forem sendo proferidas, através dos elementos reunidos no PA de acompanhamento, mediante notação em separado, com indicação do n.º do processo em que tais atrasos se terão verificado, para revisão no mês de Janeiro do ano seguinte</w:t>
      </w:r>
      <w:r>
        <w:rPr>
          <w:rFonts w:ascii="Arial Narrow" w:hAnsi="Arial Narrow"/>
        </w:rPr>
        <w:t>,</w:t>
      </w:r>
      <w:r w:rsidRPr="00633245">
        <w:rPr>
          <w:rFonts w:ascii="Arial Narrow" w:hAnsi="Arial Narrow"/>
        </w:rPr>
        <w:t xml:space="preserve"> com recolha e sistematização da informação a transmitir à PGR e à </w:t>
      </w:r>
      <w:r w:rsidRPr="00C56557">
        <w:rPr>
          <w:rFonts w:ascii="Arial Narrow" w:hAnsi="Arial Narrow"/>
          <w:smallCaps/>
        </w:rPr>
        <w:t>Eurojust</w:t>
      </w:r>
      <w:r w:rsidRPr="00633245">
        <w:rPr>
          <w:rFonts w:ascii="Arial Narrow" w:hAnsi="Arial Narrow"/>
        </w:rPr>
        <w:t>.</w:t>
      </w:r>
    </w:p>
    <w:p w:rsidR="0005127D" w:rsidRPr="00F96A3F" w:rsidRDefault="0005127D" w:rsidP="00BF723E">
      <w:pPr>
        <w:numPr>
          <w:ilvl w:val="0"/>
          <w:numId w:val="36"/>
        </w:numPr>
        <w:spacing w:before="480"/>
        <w:ind w:left="357" w:hanging="357"/>
        <w:jc w:val="both"/>
        <w:rPr>
          <w:rFonts w:ascii="Arial Narrow" w:hAnsi="Arial Narrow"/>
          <w:b/>
          <w:i/>
        </w:rPr>
      </w:pPr>
      <w:r w:rsidRPr="00F96A3F">
        <w:rPr>
          <w:rFonts w:ascii="Arial Narrow" w:hAnsi="Arial Narrow"/>
          <w:b/>
          <w:i/>
        </w:rPr>
        <w:t xml:space="preserve">Prazos de decisão e de entrega; libertação do detido – artigos 26.º, 29.º e 30.º da Lei </w:t>
      </w:r>
      <w:r>
        <w:rPr>
          <w:rFonts w:ascii="Arial Narrow" w:hAnsi="Arial Narrow"/>
          <w:b/>
          <w:i/>
        </w:rPr>
        <w:t xml:space="preserve">n.º </w:t>
      </w:r>
      <w:r w:rsidRPr="00F96A3F">
        <w:rPr>
          <w:rFonts w:ascii="Arial Narrow" w:hAnsi="Arial Narrow"/>
          <w:b/>
          <w:i/>
        </w:rPr>
        <w:t>65/2003 e 17.º e 23.º da Decisão relativa à Eurojust</w:t>
      </w:r>
    </w:p>
    <w:p w:rsidR="0005127D" w:rsidRDefault="0005127D" w:rsidP="00BF723E">
      <w:pPr>
        <w:numPr>
          <w:ilvl w:val="1"/>
          <w:numId w:val="36"/>
        </w:numPr>
        <w:spacing w:before="360"/>
        <w:ind w:left="992" w:hanging="635"/>
        <w:jc w:val="both"/>
        <w:rPr>
          <w:rFonts w:ascii="Arial Narrow" w:hAnsi="Arial Narrow"/>
        </w:rPr>
      </w:pPr>
      <w:r>
        <w:rPr>
          <w:rFonts w:ascii="Arial Narrow" w:hAnsi="Arial Narrow"/>
        </w:rPr>
        <w:t>Os artigos 26.º, 29.º e 30.º da Lei n.º 65/2003 procedem à transposição dos artigos 17.º e 23.º da Decisão-Quadro relativa ao MDE (DQ) com diferenças que importa ter presentes. Assim:</w:t>
      </w:r>
    </w:p>
    <w:p w:rsidR="0005127D" w:rsidRDefault="0005127D" w:rsidP="00BF723E">
      <w:pPr>
        <w:numPr>
          <w:ilvl w:val="1"/>
          <w:numId w:val="36"/>
        </w:numPr>
        <w:spacing w:before="240"/>
        <w:ind w:left="993" w:hanging="633"/>
        <w:jc w:val="both"/>
        <w:rPr>
          <w:rFonts w:ascii="Arial Narrow" w:hAnsi="Arial Narrow"/>
        </w:rPr>
      </w:pPr>
      <w:r>
        <w:rPr>
          <w:rFonts w:ascii="Arial Narrow" w:hAnsi="Arial Narrow"/>
        </w:rPr>
        <w:t>Quanto ao artigo 17.º da Decisão-Quadro:</w:t>
      </w:r>
    </w:p>
    <w:p w:rsidR="0005127D" w:rsidRDefault="0005127D" w:rsidP="00BF723E">
      <w:pPr>
        <w:numPr>
          <w:ilvl w:val="0"/>
          <w:numId w:val="42"/>
        </w:numPr>
        <w:spacing w:before="240"/>
        <w:jc w:val="both"/>
        <w:rPr>
          <w:rFonts w:ascii="Arial Narrow" w:hAnsi="Arial Narrow"/>
        </w:rPr>
      </w:pPr>
      <w:r>
        <w:rPr>
          <w:rFonts w:ascii="Arial Narrow" w:hAnsi="Arial Narrow"/>
        </w:rPr>
        <w:t>O n.º 1 do artigo 17.º da DQ, que se refere à urgência do processo, encontra expressão no n.º 1 do artigo 29.º – a pessoa procurada deve ser entregue no mais curto prazo possível – e no artigo 33.º da Lei n.º 65/2003 – natureza urgente do processo de execução do MDE;</w:t>
      </w:r>
    </w:p>
    <w:p w:rsidR="0005127D" w:rsidRDefault="0005127D" w:rsidP="00BF723E">
      <w:pPr>
        <w:numPr>
          <w:ilvl w:val="0"/>
          <w:numId w:val="42"/>
        </w:numPr>
        <w:spacing w:before="240"/>
        <w:jc w:val="both"/>
        <w:rPr>
          <w:rFonts w:ascii="Arial Narrow" w:hAnsi="Arial Narrow"/>
        </w:rPr>
      </w:pPr>
      <w:r>
        <w:rPr>
          <w:rFonts w:ascii="Arial Narrow" w:hAnsi="Arial Narrow"/>
        </w:rPr>
        <w:t>Os n.ºs 2 a 7 do artigo 17.º da DQ foram transpostos pelo artigo 26.º da Lei n.º 65/2003, com as seguintes divergências:</w:t>
      </w:r>
    </w:p>
    <w:p w:rsidR="0005127D" w:rsidRDefault="0005127D" w:rsidP="00913D5B">
      <w:pPr>
        <w:numPr>
          <w:ilvl w:val="2"/>
          <w:numId w:val="23"/>
        </w:numPr>
        <w:spacing w:before="240"/>
        <w:jc w:val="both"/>
        <w:rPr>
          <w:rFonts w:ascii="Arial Narrow" w:hAnsi="Arial Narrow"/>
        </w:rPr>
      </w:pPr>
      <w:r>
        <w:rPr>
          <w:rFonts w:ascii="Arial Narrow" w:hAnsi="Arial Narrow"/>
        </w:rPr>
        <w:t>O n.º 3 do artigo 26.º identifica de forma exemplificativa os “casos específicos” de impossibilidade de cumprimento dos prazos a que se refere o n.º 4 do artigo 17.º da DQ (“nomeadamente por ter sido interposto recurso”), pelo que o dever de informação à autoridade de emissão e a possibilidade de prorrogação, por 30 dias, dos prazos de decisão se justificam sempre que o MDE “não puder ser executado” nos prazos de 10 dias ou de 60 dias, consoante haja ou não consentimento da pessoa procurada;</w:t>
      </w:r>
    </w:p>
    <w:p w:rsidR="0005127D" w:rsidRDefault="0005127D" w:rsidP="00913D5B">
      <w:pPr>
        <w:numPr>
          <w:ilvl w:val="2"/>
          <w:numId w:val="23"/>
        </w:numPr>
        <w:spacing w:before="240"/>
        <w:jc w:val="both"/>
        <w:rPr>
          <w:rFonts w:ascii="Arial Narrow" w:hAnsi="Arial Narrow"/>
        </w:rPr>
      </w:pPr>
      <w:r>
        <w:rPr>
          <w:rFonts w:ascii="Arial Narrow" w:hAnsi="Arial Narrow"/>
        </w:rPr>
        <w:t>Apesar de a letra do n.º 3 do artigo 26.º não conter o advérbio “imediatamente”, que consta da redacção do n.º 4 da DQ, deve entender-se, por recurso ao princípio da interpretação conforme e face à natureza urgente do processo, que a informação à autoridade de emissão deve ser prestada imediatamente, logo que a impossibilidade do cumprimento dos prazos se revele.</w:t>
      </w:r>
    </w:p>
    <w:p w:rsidR="0005127D" w:rsidRDefault="0005127D" w:rsidP="00BF723E">
      <w:pPr>
        <w:numPr>
          <w:ilvl w:val="1"/>
          <w:numId w:val="43"/>
        </w:numPr>
        <w:spacing w:before="240"/>
        <w:jc w:val="both"/>
        <w:rPr>
          <w:rFonts w:ascii="Arial Narrow" w:hAnsi="Arial Narrow"/>
        </w:rPr>
      </w:pPr>
      <w:r>
        <w:rPr>
          <w:rFonts w:ascii="Arial Narrow" w:hAnsi="Arial Narrow"/>
        </w:rPr>
        <w:t>A expressão “quando o mandado de detenção europeu não possa ser executado dentro dos prazos” deve ser interpretada restritivamente no sentido de que o termo “executado” diz respeito à tomada de decisão definitiva sobre a execução do MDE, não abrangendo a entrega posterior à decisão de execução.</w:t>
      </w:r>
    </w:p>
    <w:p w:rsidR="0005127D" w:rsidRDefault="0005127D" w:rsidP="00913D5B">
      <w:pPr>
        <w:numPr>
          <w:ilvl w:val="1"/>
          <w:numId w:val="43"/>
        </w:numPr>
        <w:spacing w:before="240"/>
        <w:jc w:val="both"/>
        <w:rPr>
          <w:rFonts w:ascii="Arial Narrow" w:hAnsi="Arial Narrow"/>
        </w:rPr>
      </w:pPr>
      <w:r>
        <w:rPr>
          <w:rFonts w:ascii="Arial Narrow" w:hAnsi="Arial Narrow"/>
        </w:rPr>
        <w:t>Enquanto o n.º 5 do artigo 17.º estabelece que o Estado-Membro de execução deve “zelar para que continuem a estar reunidas as condições materiais necessárias para uma entrega efectiva da pessoa” enquanto não for tomada uma decisão definitiva sobre a execução do MDE, o n.º 4 do artigo 26.º da Lei n.º 65/2003, que transpõe aquele preceito, apenas refere que “serão asseguradas as condições necessárias para a entrega efectiva da pessoa” durante esse período; uma interpretação conforme ao direito da UE não deve afastar o elemento de continuidade das condições, durante o processo de execução, para garantia da entrega efectiva, nem o facto de o termo “condições” se limitar às “condições materiais”, o que releva para efeitos da regra de manutenção da situação de detenção.</w:t>
      </w:r>
    </w:p>
    <w:p w:rsidR="0005127D" w:rsidRDefault="0005127D" w:rsidP="00913D5B">
      <w:pPr>
        <w:numPr>
          <w:ilvl w:val="1"/>
          <w:numId w:val="43"/>
        </w:numPr>
        <w:spacing w:before="240"/>
        <w:jc w:val="both"/>
        <w:rPr>
          <w:rFonts w:ascii="Arial Narrow" w:hAnsi="Arial Narrow"/>
        </w:rPr>
      </w:pPr>
      <w:r>
        <w:rPr>
          <w:rFonts w:ascii="Arial Narrow" w:hAnsi="Arial Narrow"/>
        </w:rPr>
        <w:t>O n.º 6 do artigo 17.º da Decisão-Quadro, segundo o qual a recusa de execução de um MDE deve ser fundamentada, encontra expressão no artigo 22.º, n.º 1, da Lei 65/2003, que dispõe que “o tribunal profere decisão fundamentada sobre a execução” do MDE, nela se incluindo a decisão de recusa.</w:t>
      </w:r>
    </w:p>
    <w:p w:rsidR="0005127D" w:rsidRDefault="0005127D" w:rsidP="00913D5B">
      <w:pPr>
        <w:numPr>
          <w:ilvl w:val="1"/>
          <w:numId w:val="43"/>
        </w:numPr>
        <w:spacing w:before="240"/>
        <w:jc w:val="both"/>
        <w:rPr>
          <w:rFonts w:ascii="Arial Narrow" w:hAnsi="Arial Narrow"/>
        </w:rPr>
      </w:pPr>
      <w:r>
        <w:rPr>
          <w:rFonts w:ascii="Arial Narrow" w:hAnsi="Arial Narrow"/>
        </w:rPr>
        <w:t>A norma da 2.ª parte do n.º 7 do artigo 17.º da DQ que estabelece o dever de informar o Conselho acerca dos atrasos repetidos na execução do MDE não foi incorporada na Lei n.º 65/2003.</w:t>
      </w:r>
    </w:p>
    <w:p w:rsidR="0005127D" w:rsidRDefault="0005127D" w:rsidP="00BF723E">
      <w:pPr>
        <w:numPr>
          <w:ilvl w:val="1"/>
          <w:numId w:val="36"/>
        </w:numPr>
        <w:tabs>
          <w:tab w:val="left" w:pos="993"/>
        </w:tabs>
        <w:spacing w:before="240"/>
        <w:ind w:left="788" w:hanging="431"/>
        <w:jc w:val="both"/>
        <w:rPr>
          <w:rFonts w:ascii="Arial Narrow" w:hAnsi="Arial Narrow"/>
        </w:rPr>
      </w:pPr>
      <w:r>
        <w:rPr>
          <w:rFonts w:ascii="Arial Narrow" w:hAnsi="Arial Narrow"/>
        </w:rPr>
        <w:t>Quanto ao artigo 23.º da Decisão-Quadro:</w:t>
      </w:r>
    </w:p>
    <w:p w:rsidR="0005127D" w:rsidRDefault="0005127D" w:rsidP="00BF723E">
      <w:pPr>
        <w:numPr>
          <w:ilvl w:val="0"/>
          <w:numId w:val="44"/>
        </w:numPr>
        <w:tabs>
          <w:tab w:val="left" w:pos="993"/>
        </w:tabs>
        <w:spacing w:before="120"/>
        <w:jc w:val="both"/>
        <w:rPr>
          <w:rFonts w:ascii="Arial Narrow" w:hAnsi="Arial Narrow"/>
        </w:rPr>
      </w:pPr>
      <w:r>
        <w:rPr>
          <w:rFonts w:ascii="Arial Narrow" w:hAnsi="Arial Narrow"/>
        </w:rPr>
        <w:t>Este artigo foi transposto pelo artigo 29.º da Lei 65/2003, sendo de salientar as seguintes divergências:</w:t>
      </w:r>
    </w:p>
    <w:p w:rsidR="0005127D" w:rsidRDefault="0005127D" w:rsidP="00913D5B">
      <w:pPr>
        <w:numPr>
          <w:ilvl w:val="2"/>
          <w:numId w:val="24"/>
        </w:numPr>
        <w:tabs>
          <w:tab w:val="left" w:pos="993"/>
        </w:tabs>
        <w:spacing w:before="120"/>
        <w:jc w:val="both"/>
        <w:rPr>
          <w:rFonts w:ascii="Arial Narrow" w:hAnsi="Arial Narrow"/>
        </w:rPr>
      </w:pPr>
      <w:r>
        <w:rPr>
          <w:rFonts w:ascii="Arial Narrow" w:hAnsi="Arial Narrow"/>
        </w:rPr>
        <w:t>O n.º 3 do artigo 29.º da Lei 65/2003 estabelece que, se for impossível a entrega da pessoa no prazo de 10 dias a contar da decisão definitiva de execução do MDE, previsto no n.º 2 do mesmo preceito, é acordada nova data de entrega (a não oposição à data indicada pela autoridade do Estado de emissão deverá ser entendida como acordo tácito) e que esta “deverá ter lugar no prazo de 10 dias a contar da data fixada nos termos do número anterior”, o que significa que o novo prazo de 10 dias dentro do qual se deve fixar nova data e em que a entrega se deve efectivar se conta a partir da data inicialmente fixada para a entrega e não a partir do termo do primeiro prazo de 10 dias; para além das dificuldades práticas de aplicação, esta norma contraria o n.º 3 do artigo 23.º da DQ segundo o qual o novo prazo de 10 dias se conta a partir “da nova data acordada” para a entrega;</w:t>
      </w:r>
    </w:p>
    <w:p w:rsidR="0005127D" w:rsidRDefault="0005127D" w:rsidP="00913D5B">
      <w:pPr>
        <w:numPr>
          <w:ilvl w:val="2"/>
          <w:numId w:val="24"/>
        </w:numPr>
        <w:tabs>
          <w:tab w:val="left" w:pos="993"/>
        </w:tabs>
        <w:spacing w:before="120"/>
        <w:jc w:val="both"/>
        <w:rPr>
          <w:rFonts w:ascii="Arial Narrow" w:hAnsi="Arial Narrow"/>
        </w:rPr>
      </w:pPr>
      <w:r>
        <w:rPr>
          <w:rFonts w:ascii="Arial Narrow" w:hAnsi="Arial Narrow"/>
        </w:rPr>
        <w:t>O n.º 5 do artigo 29.º da Lei 65/2003 dispõe que, cessando os motivos que determinaram a suspensão temporária da entrega da pessoa, “é acordada uma nova data de entrega, a qual deverá ter lugar no prazo de 10 dias”, sem indicar o termo inicial do prazo, dando a entender que este prazo começa a correr com a cessação dos motivos da suspensão; interpretando a norma em conformidade com a Decisão-Quadro, deverá entender-se, porém, que a entrega deve ocorrer no prazo máximo de 10 dias a contar “da nova data acordada”, como expressamente prevê o n.º 4, parte final, do artigo 23.º da DQ;</w:t>
      </w:r>
    </w:p>
    <w:p w:rsidR="0005127D" w:rsidRDefault="0005127D" w:rsidP="00913D5B">
      <w:pPr>
        <w:numPr>
          <w:ilvl w:val="2"/>
          <w:numId w:val="24"/>
        </w:numPr>
        <w:tabs>
          <w:tab w:val="left" w:pos="993"/>
        </w:tabs>
        <w:spacing w:before="120"/>
        <w:jc w:val="both"/>
        <w:rPr>
          <w:rFonts w:ascii="Arial Narrow" w:hAnsi="Arial Narrow"/>
        </w:rPr>
      </w:pPr>
      <w:r>
        <w:rPr>
          <w:rFonts w:ascii="Arial Narrow" w:hAnsi="Arial Narrow"/>
        </w:rPr>
        <w:t xml:space="preserve">O n.º 5 do artigo 23.º da Decisão-Quadro estabelece que “se, findos os prazos referidos nos n.ºs 2 a 4, a pessoa ainda se encontrar detida, deve ser posta em liberdade”. Esta norma não foi transposta pela Lei n.º 65/2003, sendo que esta, diversamente do que consta da Decisão-Quadro, apenas veio fixar prazos de duração máxima da detenção com referência à decisão de execução (artigo 30.º, n.º 1), fazendo coincidir o seu termo com o termo do prazo de 60 dias para tomada de decisão sobre a execução do MDE no caso de falta de consentimento da pessoa procurada (artigo 26.º, n.º 2, da Lei 65/2003 e artigo 17.º, n.º 3, da Decisão-Quadro), alargado para as hipóteses de recurso. </w:t>
      </w:r>
    </w:p>
    <w:p w:rsidR="0005127D" w:rsidRDefault="0005127D" w:rsidP="00913D5B">
      <w:pPr>
        <w:numPr>
          <w:ilvl w:val="0"/>
          <w:numId w:val="44"/>
        </w:numPr>
        <w:tabs>
          <w:tab w:val="left" w:pos="993"/>
        </w:tabs>
        <w:spacing w:before="120"/>
        <w:jc w:val="both"/>
        <w:rPr>
          <w:rFonts w:ascii="Arial Narrow" w:hAnsi="Arial Narrow"/>
        </w:rPr>
      </w:pPr>
      <w:r w:rsidRPr="001825C9">
        <w:rPr>
          <w:rFonts w:ascii="Arial Narrow" w:hAnsi="Arial Narrow"/>
        </w:rPr>
        <w:t>Apesar da falta de norma</w:t>
      </w:r>
      <w:r>
        <w:rPr>
          <w:rFonts w:ascii="Arial Narrow" w:hAnsi="Arial Narrow"/>
        </w:rPr>
        <w:t xml:space="preserve"> expressa</w:t>
      </w:r>
      <w:r w:rsidRPr="001825C9">
        <w:rPr>
          <w:rFonts w:ascii="Arial Narrow" w:hAnsi="Arial Narrow"/>
        </w:rPr>
        <w:t>, deverá entender-se que, decorridos os prazos para entrega fixados no artigo 29.º</w:t>
      </w:r>
      <w:r>
        <w:rPr>
          <w:rFonts w:ascii="Arial Narrow" w:hAnsi="Arial Narrow"/>
        </w:rPr>
        <w:t xml:space="preserve"> da Lei n.º 65/2003</w:t>
      </w:r>
      <w:r w:rsidRPr="001825C9">
        <w:rPr>
          <w:rFonts w:ascii="Arial Narrow" w:hAnsi="Arial Narrow"/>
        </w:rPr>
        <w:t>, que transpõe defeituosamente o artigo 23.º da Decisão-Quadro, sem que a pessoa detida seja entregue, esta deverá ser libertada, sem prejuízo da sujeição a medida de coacção não detentiva até que a entrega se verifique.</w:t>
      </w:r>
    </w:p>
    <w:p w:rsidR="0005127D" w:rsidRPr="00DF2513" w:rsidRDefault="0005127D" w:rsidP="00C05373">
      <w:pPr>
        <w:tabs>
          <w:tab w:val="left" w:pos="993"/>
        </w:tabs>
        <w:spacing w:before="120"/>
        <w:ind w:left="2127"/>
        <w:jc w:val="both"/>
        <w:rPr>
          <w:rFonts w:ascii="Arial Narrow" w:hAnsi="Arial Narrow" w:cs="Times"/>
          <w:bCs/>
          <w:sz w:val="22"/>
          <w:szCs w:val="26"/>
          <w:lang w:eastAsia="en-US"/>
        </w:rPr>
      </w:pPr>
      <w:r w:rsidRPr="00DF2513">
        <w:rPr>
          <w:rFonts w:ascii="Arial Narrow" w:hAnsi="Arial Narrow"/>
          <w:sz w:val="22"/>
        </w:rPr>
        <w:t xml:space="preserve">Neste sentido pode ver-se recente acórdão do STJ, de 18.4.2013, em processo de </w:t>
      </w:r>
      <w:r w:rsidRPr="00DF2513">
        <w:rPr>
          <w:rFonts w:ascii="Arial Narrow" w:hAnsi="Arial Narrow"/>
          <w:i/>
          <w:sz w:val="22"/>
        </w:rPr>
        <w:t>habeas corpus</w:t>
      </w:r>
      <w:r w:rsidRPr="00DF2513">
        <w:rPr>
          <w:rFonts w:ascii="Arial Narrow" w:hAnsi="Arial Narrow"/>
          <w:sz w:val="22"/>
        </w:rPr>
        <w:t xml:space="preserve">, proferido no processo </w:t>
      </w:r>
      <w:r w:rsidRPr="00DF2513">
        <w:rPr>
          <w:rFonts w:ascii="Arial Narrow" w:hAnsi="Arial Narrow" w:cs="Times"/>
          <w:bCs/>
          <w:sz w:val="22"/>
          <w:szCs w:val="26"/>
          <w:lang w:eastAsia="en-US"/>
        </w:rPr>
        <w:t>301/13.8YLSB-A.S1, da 5.ª Secção do Tribunal da Relação de Lisboa.</w:t>
      </w:r>
    </w:p>
    <w:p w:rsidR="0005127D" w:rsidRPr="00DF2513" w:rsidRDefault="0005127D" w:rsidP="00C05373">
      <w:pPr>
        <w:tabs>
          <w:tab w:val="left" w:pos="993"/>
        </w:tabs>
        <w:spacing w:before="120"/>
        <w:ind w:left="2127"/>
        <w:jc w:val="both"/>
        <w:rPr>
          <w:rFonts w:ascii="Arial Narrow" w:hAnsi="Arial Narrow"/>
          <w:sz w:val="22"/>
        </w:rPr>
      </w:pPr>
      <w:r w:rsidRPr="00DF2513">
        <w:rPr>
          <w:rFonts w:ascii="Arial Narrow" w:hAnsi="Arial Narrow" w:cs="Times"/>
          <w:bCs/>
          <w:sz w:val="22"/>
          <w:szCs w:val="26"/>
          <w:lang w:eastAsia="en-US"/>
        </w:rPr>
        <w:t xml:space="preserve">Este acórdão analisou o conceito de “motivo humanitário grave”, justificativo da suspensão temporária da entrega (artigo 29.º, n.º 4, da Lei 65/2003), sublinhando que o “perigo para a saúde” deve resultar da “entrega” e não do meio de transporte para efectivar a entrega (no caso o perigo resultaria do uso do avião, não estando demonstrado o afastamento do perigo por meio de transporte alternativo). </w:t>
      </w:r>
      <w:r>
        <w:rPr>
          <w:rFonts w:ascii="Arial Narrow" w:hAnsi="Arial Narrow" w:cs="Times"/>
          <w:bCs/>
          <w:sz w:val="22"/>
          <w:szCs w:val="26"/>
          <w:lang w:eastAsia="en-US"/>
        </w:rPr>
        <w:t xml:space="preserve"> O acórdão analisou também o conceito de “facto de força maior”, a propósito de o comandante de um avião ter recusado o transporte de um detido com uma perna fracturada.</w:t>
      </w:r>
    </w:p>
    <w:p w:rsidR="0005127D" w:rsidRDefault="0005127D" w:rsidP="00913D5B">
      <w:pPr>
        <w:tabs>
          <w:tab w:val="left" w:pos="900"/>
        </w:tabs>
        <w:spacing w:before="120"/>
        <w:ind w:left="792" w:hanging="432"/>
        <w:jc w:val="both"/>
        <w:rPr>
          <w:rFonts w:ascii="Arial Narrow" w:hAnsi="Arial Narrow"/>
        </w:rPr>
      </w:pPr>
    </w:p>
    <w:p w:rsidR="0005127D" w:rsidRPr="00DF2513" w:rsidRDefault="0005127D" w:rsidP="00C05373">
      <w:pPr>
        <w:tabs>
          <w:tab w:val="left" w:pos="900"/>
        </w:tabs>
        <w:spacing w:before="120"/>
        <w:jc w:val="both"/>
        <w:rPr>
          <w:rFonts w:ascii="Arial Narrow" w:hAnsi="Arial Narrow"/>
        </w:rPr>
      </w:pPr>
    </w:p>
    <w:p w:rsidR="0005127D" w:rsidRPr="001F0EF4" w:rsidRDefault="0005127D" w:rsidP="00D733E9">
      <w:pPr>
        <w:spacing w:before="600"/>
        <w:jc w:val="both"/>
        <w:rPr>
          <w:rFonts w:ascii="Arial Narrow" w:hAnsi="Arial Narrow"/>
          <w:b/>
          <w:caps/>
          <w:sz w:val="26"/>
        </w:rPr>
      </w:pPr>
      <w:r w:rsidRPr="001F0EF4">
        <w:rPr>
          <w:rFonts w:ascii="Arial Narrow" w:hAnsi="Arial Narrow"/>
          <w:b/>
          <w:caps/>
          <w:sz w:val="26"/>
        </w:rPr>
        <w:t>B. Transferência de condenado e revisão de sentença estrangeira</w:t>
      </w:r>
    </w:p>
    <w:p w:rsidR="0005127D" w:rsidRPr="00061679" w:rsidRDefault="0005127D" w:rsidP="00913D5B">
      <w:pPr>
        <w:spacing w:before="240"/>
        <w:ind w:left="792" w:hanging="432"/>
        <w:jc w:val="both"/>
        <w:rPr>
          <w:rFonts w:ascii="Arial Narrow" w:hAnsi="Arial Narrow"/>
          <w:b/>
          <w:caps/>
        </w:rPr>
      </w:pPr>
    </w:p>
    <w:p w:rsidR="0005127D" w:rsidRPr="00E41497" w:rsidRDefault="0005127D" w:rsidP="00913D5B">
      <w:pPr>
        <w:numPr>
          <w:ilvl w:val="0"/>
          <w:numId w:val="36"/>
        </w:numPr>
        <w:spacing w:before="240"/>
        <w:jc w:val="both"/>
        <w:rPr>
          <w:rFonts w:ascii="Arial Narrow" w:hAnsi="Arial Narrow"/>
          <w:b/>
          <w:i/>
        </w:rPr>
      </w:pPr>
      <w:r w:rsidRPr="00E41497">
        <w:rPr>
          <w:rFonts w:ascii="Arial Narrow" w:hAnsi="Arial Narrow"/>
          <w:b/>
          <w:i/>
        </w:rPr>
        <w:t xml:space="preserve">Expediente vindo da PGR; aceitação do pedido; despacho de admissibilidade (MJ) – </w:t>
      </w:r>
      <w:r>
        <w:rPr>
          <w:rFonts w:ascii="Arial Narrow" w:hAnsi="Arial Narrow"/>
          <w:b/>
          <w:i/>
        </w:rPr>
        <w:t>artigo</w:t>
      </w:r>
      <w:r w:rsidRPr="00E41497">
        <w:rPr>
          <w:rFonts w:ascii="Arial Narrow" w:hAnsi="Arial Narrow"/>
          <w:b/>
          <w:i/>
        </w:rPr>
        <w:t xml:space="preserve"> 120</w:t>
      </w:r>
      <w:r>
        <w:rPr>
          <w:rFonts w:ascii="Arial Narrow" w:hAnsi="Arial Narrow"/>
          <w:b/>
          <w:i/>
        </w:rPr>
        <w:t>.º, n .º 1, da Lei n.º 144/99</w:t>
      </w:r>
      <w:r w:rsidRPr="00E41497">
        <w:rPr>
          <w:rFonts w:ascii="Arial Narrow" w:hAnsi="Arial Narrow"/>
          <w:b/>
          <w:i/>
        </w:rPr>
        <w:t>; delegação de competência na PGR (despacho 211/2013)</w:t>
      </w:r>
    </w:p>
    <w:p w:rsidR="0005127D" w:rsidRPr="00CB56D6" w:rsidRDefault="0005127D" w:rsidP="00BF723E">
      <w:pPr>
        <w:numPr>
          <w:ilvl w:val="1"/>
          <w:numId w:val="36"/>
        </w:numPr>
        <w:tabs>
          <w:tab w:val="left" w:pos="993"/>
        </w:tabs>
        <w:spacing w:before="360"/>
        <w:ind w:left="992" w:hanging="635"/>
        <w:jc w:val="both"/>
        <w:rPr>
          <w:rFonts w:ascii="Arial Narrow" w:hAnsi="Arial Narrow"/>
          <w:i/>
        </w:rPr>
      </w:pPr>
      <w:r w:rsidRPr="00633245">
        <w:rPr>
          <w:rFonts w:ascii="Arial Narrow" w:hAnsi="Arial Narrow"/>
        </w:rPr>
        <w:t xml:space="preserve">O Despacho da Ministra da Justiça n.º 211/2013, de 28.12.2012 </w:t>
      </w:r>
      <w:r>
        <w:rPr>
          <w:rFonts w:ascii="Arial Narrow" w:hAnsi="Arial Narrow"/>
        </w:rPr>
        <w:t xml:space="preserve">(DR 2.ª Série, de 7 da Janeiro de 2013), </w:t>
      </w:r>
      <w:r w:rsidRPr="00633245">
        <w:rPr>
          <w:rFonts w:ascii="Arial Narrow" w:hAnsi="Arial Narrow"/>
        </w:rPr>
        <w:t xml:space="preserve">delegou na Procuradora-Geral da República, </w:t>
      </w:r>
      <w:r>
        <w:rPr>
          <w:rFonts w:ascii="Arial Narrow" w:hAnsi="Arial Narrow"/>
        </w:rPr>
        <w:t>com base n</w:t>
      </w:r>
      <w:r w:rsidRPr="00633245">
        <w:rPr>
          <w:rFonts w:ascii="Arial Narrow" w:hAnsi="Arial Narrow"/>
        </w:rPr>
        <w:t xml:space="preserve">o artigo 165.º da Lei </w:t>
      </w:r>
      <w:r>
        <w:rPr>
          <w:rFonts w:ascii="Arial Narrow" w:hAnsi="Arial Narrow"/>
        </w:rPr>
        <w:t xml:space="preserve">n.º </w:t>
      </w:r>
      <w:r w:rsidRPr="00633245">
        <w:rPr>
          <w:rFonts w:ascii="Arial Narrow" w:hAnsi="Arial Narrow"/>
        </w:rPr>
        <w:t>144/99, de 31 de Agosto, competência para a prática dos actos previstos:</w:t>
      </w:r>
    </w:p>
    <w:p w:rsidR="0005127D" w:rsidRPr="00633245" w:rsidRDefault="0005127D" w:rsidP="00BF723E">
      <w:pPr>
        <w:numPr>
          <w:ilvl w:val="0"/>
          <w:numId w:val="45"/>
        </w:numPr>
        <w:spacing w:before="120"/>
        <w:jc w:val="both"/>
        <w:rPr>
          <w:rFonts w:ascii="Arial Narrow" w:hAnsi="Arial Narrow"/>
          <w:i/>
        </w:rPr>
      </w:pPr>
      <w:r w:rsidRPr="00633245">
        <w:rPr>
          <w:rFonts w:ascii="Arial Narrow" w:hAnsi="Arial Narrow"/>
        </w:rPr>
        <w:t>No n.º 1 do artigo 69.º – formular pedidos de extradição a Estado estrangeiro;</w:t>
      </w:r>
    </w:p>
    <w:p w:rsidR="0005127D" w:rsidRPr="00633245" w:rsidRDefault="0005127D" w:rsidP="00913D5B">
      <w:pPr>
        <w:numPr>
          <w:ilvl w:val="0"/>
          <w:numId w:val="45"/>
        </w:numPr>
        <w:spacing w:before="120"/>
        <w:jc w:val="both"/>
        <w:rPr>
          <w:rFonts w:ascii="Arial Narrow" w:hAnsi="Arial Narrow"/>
          <w:i/>
        </w:rPr>
      </w:pPr>
      <w:r w:rsidRPr="00633245">
        <w:rPr>
          <w:rFonts w:ascii="Arial Narrow" w:hAnsi="Arial Narrow"/>
        </w:rPr>
        <w:t>No n.º 6 do artigo 91.º – apreciação da decisão favorável a pedido de delegação num Estado estrangeiro da instauração ou continuação de procedimento penal;</w:t>
      </w:r>
    </w:p>
    <w:p w:rsidR="0005127D" w:rsidRPr="00633245" w:rsidRDefault="0005127D" w:rsidP="00913D5B">
      <w:pPr>
        <w:numPr>
          <w:ilvl w:val="0"/>
          <w:numId w:val="45"/>
        </w:numPr>
        <w:spacing w:before="120"/>
        <w:jc w:val="both"/>
        <w:rPr>
          <w:rFonts w:ascii="Arial Narrow" w:hAnsi="Arial Narrow"/>
          <w:i/>
        </w:rPr>
      </w:pPr>
      <w:r w:rsidRPr="00633245">
        <w:rPr>
          <w:rFonts w:ascii="Arial Narrow" w:hAnsi="Arial Narrow"/>
        </w:rPr>
        <w:t>No artigo 92.º – efectuar pedido a um Estado estrangeiro para instauração ou continuação de procedimento penal;</w:t>
      </w:r>
    </w:p>
    <w:p w:rsidR="0005127D" w:rsidRPr="00633245" w:rsidRDefault="0005127D" w:rsidP="00430836">
      <w:pPr>
        <w:numPr>
          <w:ilvl w:val="0"/>
          <w:numId w:val="45"/>
        </w:numPr>
        <w:spacing w:before="120"/>
        <w:jc w:val="both"/>
        <w:rPr>
          <w:rFonts w:ascii="Arial Narrow" w:hAnsi="Arial Narrow"/>
          <w:i/>
        </w:rPr>
      </w:pPr>
      <w:r w:rsidRPr="00633245">
        <w:rPr>
          <w:rFonts w:ascii="Arial Narrow" w:hAnsi="Arial Narrow"/>
        </w:rPr>
        <w:t>Nos n.ºs 1, 2 e 3 do artigo 107.º – recepção, apreciação da admissibilidade e deci</w:t>
      </w:r>
      <w:r>
        <w:rPr>
          <w:rFonts w:ascii="Arial Narrow" w:hAnsi="Arial Narrow"/>
        </w:rPr>
        <w:t xml:space="preserve">são de </w:t>
      </w:r>
      <w:r w:rsidRPr="00633245">
        <w:rPr>
          <w:rFonts w:ascii="Arial Narrow" w:hAnsi="Arial Narrow"/>
        </w:rPr>
        <w:t>pedido</w:t>
      </w:r>
      <w:r>
        <w:rPr>
          <w:rFonts w:ascii="Arial Narrow" w:hAnsi="Arial Narrow"/>
        </w:rPr>
        <w:t>s</w:t>
      </w:r>
      <w:r w:rsidRPr="00633245">
        <w:rPr>
          <w:rFonts w:ascii="Arial Narrow" w:hAnsi="Arial Narrow"/>
        </w:rPr>
        <w:t xml:space="preserve"> de delegação de execução de sentença num Estado estrangeiro;</w:t>
      </w:r>
    </w:p>
    <w:p w:rsidR="0005127D" w:rsidRPr="00633245" w:rsidRDefault="0005127D" w:rsidP="00430836">
      <w:pPr>
        <w:numPr>
          <w:ilvl w:val="0"/>
          <w:numId w:val="45"/>
        </w:numPr>
        <w:spacing w:before="120"/>
        <w:jc w:val="both"/>
        <w:rPr>
          <w:rFonts w:ascii="Arial Narrow" w:hAnsi="Arial Narrow"/>
          <w:i/>
        </w:rPr>
      </w:pPr>
      <w:r w:rsidRPr="00633245">
        <w:rPr>
          <w:rFonts w:ascii="Arial Narrow" w:hAnsi="Arial Narrow"/>
        </w:rPr>
        <w:t>Nos n.ºs 3 e 4 do artigo 118.º – apreciar o pedido de transferência de pessoa condenada para o estrangeiro, bem como solicitar as informações necessárias;</w:t>
      </w:r>
    </w:p>
    <w:p w:rsidR="0005127D" w:rsidRPr="00633245" w:rsidRDefault="0005127D" w:rsidP="00430836">
      <w:pPr>
        <w:numPr>
          <w:ilvl w:val="0"/>
          <w:numId w:val="45"/>
        </w:numPr>
        <w:spacing w:before="120"/>
        <w:jc w:val="both"/>
        <w:rPr>
          <w:rFonts w:ascii="Arial Narrow" w:hAnsi="Arial Narrow"/>
          <w:i/>
        </w:rPr>
      </w:pPr>
      <w:r w:rsidRPr="00633245">
        <w:rPr>
          <w:rFonts w:ascii="Arial Narrow" w:hAnsi="Arial Narrow"/>
        </w:rPr>
        <w:t>No n.º 2 do artigo 141.º – apreciação e aceitação de pedido de Portugal a um Estado estrangeiro para vigilância de pessoas condenadas ou libertadas condicionalmente que residam nesse Estado;</w:t>
      </w:r>
    </w:p>
    <w:p w:rsidR="0005127D" w:rsidRPr="00633245" w:rsidRDefault="0005127D" w:rsidP="00430836">
      <w:pPr>
        <w:numPr>
          <w:ilvl w:val="0"/>
          <w:numId w:val="45"/>
        </w:numPr>
        <w:spacing w:before="120"/>
        <w:jc w:val="both"/>
        <w:rPr>
          <w:rFonts w:ascii="Arial Narrow" w:hAnsi="Arial Narrow"/>
          <w:i/>
        </w:rPr>
      </w:pPr>
      <w:r w:rsidRPr="00633245">
        <w:rPr>
          <w:rFonts w:ascii="Arial Narrow" w:hAnsi="Arial Narrow"/>
        </w:rPr>
        <w:t>Nos n.ºs 5 e 9 do artigo 145.º – autorização para deslocação de autoridades judiciárias e órgãos de polícia criminal.</w:t>
      </w:r>
    </w:p>
    <w:p w:rsidR="0005127D" w:rsidRPr="00633245" w:rsidRDefault="0005127D" w:rsidP="00BF723E">
      <w:pPr>
        <w:numPr>
          <w:ilvl w:val="1"/>
          <w:numId w:val="36"/>
        </w:numPr>
        <w:tabs>
          <w:tab w:val="left" w:pos="993"/>
        </w:tabs>
        <w:spacing w:before="240"/>
        <w:ind w:left="993" w:hanging="636"/>
        <w:jc w:val="both"/>
        <w:rPr>
          <w:rFonts w:ascii="Arial Narrow" w:hAnsi="Arial Narrow"/>
          <w:i/>
        </w:rPr>
      </w:pPr>
      <w:r w:rsidRPr="00633245">
        <w:rPr>
          <w:rFonts w:ascii="Arial Narrow" w:hAnsi="Arial Narrow"/>
        </w:rPr>
        <w:t>A delegação de competências não abrange a aceitação de pedido dirigido a Portugal para:</w:t>
      </w:r>
      <w:r>
        <w:rPr>
          <w:rFonts w:ascii="Arial Narrow" w:hAnsi="Arial Narrow"/>
        </w:rPr>
        <w:t xml:space="preserve"> </w:t>
      </w:r>
    </w:p>
    <w:p w:rsidR="0005127D" w:rsidRPr="00633245" w:rsidRDefault="0005127D" w:rsidP="00BF723E">
      <w:pPr>
        <w:numPr>
          <w:ilvl w:val="0"/>
          <w:numId w:val="46"/>
        </w:numPr>
        <w:spacing w:before="120"/>
        <w:jc w:val="both"/>
        <w:rPr>
          <w:rFonts w:ascii="Arial Narrow" w:hAnsi="Arial Narrow"/>
          <w:i/>
        </w:rPr>
      </w:pPr>
      <w:r w:rsidRPr="00633245">
        <w:rPr>
          <w:rFonts w:ascii="Arial Narrow" w:hAnsi="Arial Narrow"/>
        </w:rPr>
        <w:t xml:space="preserve">Vigilância de pessoas condenadas (artigos 131.º da Lei </w:t>
      </w:r>
      <w:r>
        <w:rPr>
          <w:rFonts w:ascii="Arial Narrow" w:hAnsi="Arial Narrow"/>
        </w:rPr>
        <w:t xml:space="preserve">n.º </w:t>
      </w:r>
      <w:r w:rsidRPr="00633245">
        <w:rPr>
          <w:rFonts w:ascii="Arial Narrow" w:hAnsi="Arial Narrow"/>
        </w:rPr>
        <w:t xml:space="preserve">144/99 e 12.º, proémio, da Convenção Europeia para a Vigilância de Pessoas Condenadas ou Libertadas Condicionalmente, de 30.11.1964, do Conselho da Europa); ou para </w:t>
      </w:r>
    </w:p>
    <w:p w:rsidR="0005127D" w:rsidRPr="00395441" w:rsidRDefault="0005127D" w:rsidP="00E8016E">
      <w:pPr>
        <w:numPr>
          <w:ilvl w:val="0"/>
          <w:numId w:val="46"/>
        </w:numPr>
        <w:spacing w:before="120"/>
        <w:jc w:val="both"/>
        <w:rPr>
          <w:rFonts w:ascii="Arial Narrow" w:hAnsi="Arial Narrow"/>
          <w:i/>
        </w:rPr>
      </w:pPr>
      <w:r w:rsidRPr="00633245">
        <w:rPr>
          <w:rFonts w:ascii="Arial Narrow" w:hAnsi="Arial Narrow"/>
        </w:rPr>
        <w:t xml:space="preserve">Aceitação e acordo sobre a transferência de pessoa condenada para cumprir pena de prisão ou medida privativa de liberdade em Portugal (artigos 115.º, n.º 4, e 123.º, n.º 1, </w:t>
      </w:r>
      <w:r>
        <w:rPr>
          <w:rFonts w:ascii="Arial Narrow" w:hAnsi="Arial Narrow"/>
        </w:rPr>
        <w:t xml:space="preserve">proémio, </w:t>
      </w:r>
      <w:r w:rsidRPr="00633245">
        <w:rPr>
          <w:rFonts w:ascii="Arial Narrow" w:hAnsi="Arial Narrow"/>
        </w:rPr>
        <w:t>da Lei n.º 144/99, 3.º, n.º 1, al. f), da Convenção relativa à Transferência de Pessoas Condenadas, de 21.3.1983, do Conselho da Europa, e 3.º, n.º 1, al. f), da Convenção sobre a Transferência de Pessoas Condenadas entre os Estados-Membros da CPLP).</w:t>
      </w:r>
    </w:p>
    <w:p w:rsidR="0005127D" w:rsidRDefault="0005127D" w:rsidP="00BF723E">
      <w:pPr>
        <w:numPr>
          <w:ilvl w:val="1"/>
          <w:numId w:val="36"/>
        </w:numPr>
        <w:tabs>
          <w:tab w:val="left" w:pos="993"/>
        </w:tabs>
        <w:spacing w:before="240"/>
        <w:ind w:left="992" w:hanging="635"/>
        <w:jc w:val="both"/>
        <w:rPr>
          <w:rFonts w:ascii="Arial Narrow" w:hAnsi="Arial Narrow"/>
        </w:rPr>
      </w:pPr>
      <w:r w:rsidRPr="00633245">
        <w:rPr>
          <w:rFonts w:ascii="Arial Narrow" w:hAnsi="Arial Narrow"/>
        </w:rPr>
        <w:t xml:space="preserve">O procedimento de transferência de condenado para cumprimento de pena em Portugal, que se encontra especialmente regulado nos artigos 122.º e 123.º da Lei n.º 144/99, inclui </w:t>
      </w:r>
      <w:r>
        <w:rPr>
          <w:rFonts w:ascii="Arial Narrow" w:hAnsi="Arial Narrow"/>
        </w:rPr>
        <w:t>:</w:t>
      </w:r>
    </w:p>
    <w:p w:rsidR="0005127D" w:rsidRDefault="0005127D" w:rsidP="00913D5B">
      <w:pPr>
        <w:numPr>
          <w:ilvl w:val="0"/>
          <w:numId w:val="25"/>
        </w:numPr>
        <w:tabs>
          <w:tab w:val="left" w:pos="993"/>
        </w:tabs>
        <w:spacing w:before="120"/>
        <w:jc w:val="both"/>
        <w:rPr>
          <w:rFonts w:ascii="Arial Narrow" w:hAnsi="Arial Narrow"/>
        </w:rPr>
      </w:pPr>
      <w:r>
        <w:rPr>
          <w:rFonts w:ascii="Arial Narrow" w:hAnsi="Arial Narrow"/>
        </w:rPr>
        <w:t>A</w:t>
      </w:r>
      <w:r w:rsidRPr="00633245">
        <w:rPr>
          <w:rFonts w:ascii="Arial Narrow" w:hAnsi="Arial Narrow"/>
        </w:rPr>
        <w:t xml:space="preserve"> transmissão do pedido ao Ministro da Justiça para apreciação da admissibilidade (artigo 122.º, n.º 1)</w:t>
      </w:r>
      <w:r>
        <w:rPr>
          <w:rFonts w:ascii="Arial Narrow" w:hAnsi="Arial Narrow"/>
        </w:rPr>
        <w:t>;</w:t>
      </w:r>
    </w:p>
    <w:p w:rsidR="0005127D" w:rsidRDefault="0005127D" w:rsidP="00913D5B">
      <w:pPr>
        <w:numPr>
          <w:ilvl w:val="0"/>
          <w:numId w:val="25"/>
        </w:numPr>
        <w:tabs>
          <w:tab w:val="left" w:pos="993"/>
        </w:tabs>
        <w:spacing w:before="120"/>
        <w:jc w:val="both"/>
        <w:rPr>
          <w:rFonts w:ascii="Arial Narrow" w:hAnsi="Arial Narrow"/>
        </w:rPr>
      </w:pPr>
      <w:r>
        <w:rPr>
          <w:rFonts w:ascii="Arial Narrow" w:hAnsi="Arial Narrow"/>
        </w:rPr>
        <w:t>O envio do expediente</w:t>
      </w:r>
      <w:r w:rsidRPr="00633245">
        <w:rPr>
          <w:rFonts w:ascii="Arial Narrow" w:hAnsi="Arial Narrow"/>
        </w:rPr>
        <w:t xml:space="preserve"> ao Ministério Público </w:t>
      </w:r>
      <w:r>
        <w:rPr>
          <w:rFonts w:ascii="Arial Narrow" w:hAnsi="Arial Narrow"/>
        </w:rPr>
        <w:t xml:space="preserve">no tribunal da Relação </w:t>
      </w:r>
      <w:r w:rsidRPr="00633245">
        <w:rPr>
          <w:rFonts w:ascii="Arial Narrow" w:hAnsi="Arial Narrow"/>
        </w:rPr>
        <w:t xml:space="preserve">para revisão e confirmação da sentença estrangeira, </w:t>
      </w:r>
      <w:r>
        <w:rPr>
          <w:rFonts w:ascii="Arial Narrow" w:hAnsi="Arial Narrow"/>
        </w:rPr>
        <w:t>após aceitação (artigo 123.º, n.º 1)</w:t>
      </w:r>
      <w:r w:rsidRPr="00633245">
        <w:rPr>
          <w:rFonts w:ascii="Arial Narrow" w:hAnsi="Arial Narrow"/>
        </w:rPr>
        <w:t>.</w:t>
      </w:r>
    </w:p>
    <w:p w:rsidR="0005127D" w:rsidRDefault="0005127D" w:rsidP="00BF723E">
      <w:pPr>
        <w:numPr>
          <w:ilvl w:val="1"/>
          <w:numId w:val="36"/>
        </w:numPr>
        <w:tabs>
          <w:tab w:val="left" w:pos="993"/>
        </w:tabs>
        <w:spacing w:before="240"/>
        <w:ind w:left="992" w:hanging="635"/>
        <w:jc w:val="both"/>
        <w:rPr>
          <w:rFonts w:ascii="Arial Narrow" w:hAnsi="Arial Narrow"/>
        </w:rPr>
      </w:pPr>
      <w:r>
        <w:rPr>
          <w:rFonts w:ascii="Arial Narrow" w:hAnsi="Arial Narrow"/>
        </w:rPr>
        <w:t xml:space="preserve">Dado </w:t>
      </w:r>
      <w:r w:rsidRPr="00633245">
        <w:rPr>
          <w:rFonts w:ascii="Arial Narrow" w:hAnsi="Arial Narrow"/>
        </w:rPr>
        <w:t xml:space="preserve">o </w:t>
      </w:r>
      <w:r>
        <w:rPr>
          <w:rFonts w:ascii="Arial Narrow" w:hAnsi="Arial Narrow"/>
        </w:rPr>
        <w:t xml:space="preserve">disposto no artigo 123.º, n.º 1, proémio, da Lei 144/999 (“aceite o pedido”), o </w:t>
      </w:r>
      <w:r w:rsidRPr="00633245">
        <w:rPr>
          <w:rFonts w:ascii="Arial Narrow" w:hAnsi="Arial Narrow"/>
        </w:rPr>
        <w:t xml:space="preserve">MP na Relação </w:t>
      </w:r>
      <w:r>
        <w:rPr>
          <w:rFonts w:ascii="Arial Narrow" w:hAnsi="Arial Narrow"/>
        </w:rPr>
        <w:t>só</w:t>
      </w:r>
      <w:r w:rsidRPr="00633245">
        <w:rPr>
          <w:rFonts w:ascii="Arial Narrow" w:hAnsi="Arial Narrow"/>
        </w:rPr>
        <w:t xml:space="preserve"> poderá requerer a revisão e confirmação da sentença</w:t>
      </w:r>
      <w:r>
        <w:rPr>
          <w:rFonts w:ascii="Arial Narrow" w:hAnsi="Arial Narrow"/>
        </w:rPr>
        <w:t xml:space="preserve">, com vista à transferência para cumprimento da pena em Portugal, quando </w:t>
      </w:r>
      <w:r w:rsidRPr="00633245">
        <w:rPr>
          <w:rFonts w:ascii="Arial Narrow" w:hAnsi="Arial Narrow"/>
        </w:rPr>
        <w:t xml:space="preserve">o </w:t>
      </w:r>
      <w:r>
        <w:rPr>
          <w:rFonts w:ascii="Arial Narrow" w:hAnsi="Arial Narrow"/>
        </w:rPr>
        <w:t>pedido, para além de considerado admissível, tenha sido aceite.</w:t>
      </w:r>
    </w:p>
    <w:p w:rsidR="0005127D" w:rsidRPr="009D5021" w:rsidRDefault="0005127D" w:rsidP="00913D5B">
      <w:pPr>
        <w:spacing w:before="120"/>
        <w:ind w:left="1418"/>
        <w:jc w:val="both"/>
        <w:rPr>
          <w:rFonts w:ascii="Arial Narrow" w:hAnsi="Arial Narrow"/>
          <w:sz w:val="22"/>
        </w:rPr>
      </w:pPr>
      <w:r w:rsidRPr="009D5021">
        <w:rPr>
          <w:rFonts w:ascii="Arial Narrow" w:hAnsi="Arial Narrow"/>
          <w:sz w:val="22"/>
        </w:rPr>
        <w:t>Esta situação diverge da prevista no artigo 120.º da Lei 144/99, que diz respeito ao pedido de transferência para o estrangeiro, em que o MP na Relação promove a prestação judicial do consentimento após a decisão sobre a admissibilidade do pedido.</w:t>
      </w:r>
    </w:p>
    <w:p w:rsidR="0005127D" w:rsidRPr="00633245" w:rsidRDefault="0005127D" w:rsidP="00BF723E">
      <w:pPr>
        <w:numPr>
          <w:ilvl w:val="1"/>
          <w:numId w:val="36"/>
        </w:numPr>
        <w:spacing w:before="240"/>
        <w:ind w:left="992" w:hanging="635"/>
        <w:jc w:val="both"/>
        <w:rPr>
          <w:rFonts w:ascii="Arial Narrow" w:hAnsi="Arial Narrow"/>
        </w:rPr>
      </w:pPr>
      <w:r w:rsidRPr="00633245">
        <w:rPr>
          <w:rFonts w:ascii="Arial Narrow" w:hAnsi="Arial Narrow"/>
        </w:rPr>
        <w:t xml:space="preserve">A apreciação do pedido </w:t>
      </w:r>
      <w:r>
        <w:rPr>
          <w:rFonts w:ascii="Arial Narrow" w:hAnsi="Arial Narrow"/>
        </w:rPr>
        <w:t xml:space="preserve">(do condenado) </w:t>
      </w:r>
      <w:r w:rsidRPr="00633245">
        <w:rPr>
          <w:rFonts w:ascii="Arial Narrow" w:hAnsi="Arial Narrow"/>
        </w:rPr>
        <w:t>e o despacho de admissibilidade, que relevam</w:t>
      </w:r>
      <w:r>
        <w:rPr>
          <w:rFonts w:ascii="Arial Narrow" w:hAnsi="Arial Narrow"/>
        </w:rPr>
        <w:t xml:space="preserve"> </w:t>
      </w:r>
      <w:r w:rsidRPr="00633245">
        <w:rPr>
          <w:rFonts w:ascii="Arial Narrow" w:hAnsi="Arial Narrow"/>
        </w:rPr>
        <w:t>de critérios jurídicos, como tal não subtraídos à apreciação do tribunal (cfr. artigo 24.º, n.º 1, da Lei 144/99), estão, agora, na competência delegada da Procuradora-Geral da República;</w:t>
      </w:r>
    </w:p>
    <w:p w:rsidR="0005127D" w:rsidRDefault="0005127D" w:rsidP="00BF723E">
      <w:pPr>
        <w:numPr>
          <w:ilvl w:val="1"/>
          <w:numId w:val="36"/>
        </w:numPr>
        <w:tabs>
          <w:tab w:val="left" w:pos="993"/>
        </w:tabs>
        <w:spacing w:before="240"/>
        <w:ind w:left="992" w:hanging="635"/>
        <w:jc w:val="both"/>
        <w:rPr>
          <w:rFonts w:ascii="Arial Narrow" w:hAnsi="Arial Narrow"/>
        </w:rPr>
      </w:pPr>
      <w:r w:rsidRPr="00633245">
        <w:rPr>
          <w:rFonts w:ascii="Arial Narrow" w:hAnsi="Arial Narrow"/>
        </w:rPr>
        <w:t>Tod</w:t>
      </w:r>
      <w:r>
        <w:rPr>
          <w:rFonts w:ascii="Arial Narrow" w:hAnsi="Arial Narrow"/>
        </w:rPr>
        <w:t>a</w:t>
      </w:r>
      <w:r w:rsidRPr="00633245">
        <w:rPr>
          <w:rFonts w:ascii="Arial Narrow" w:hAnsi="Arial Narrow"/>
        </w:rPr>
        <w:t xml:space="preserve">via, a transferência depende ainda e, em particular, do acordo entre o Estado em que </w:t>
      </w:r>
      <w:r>
        <w:rPr>
          <w:rFonts w:ascii="Arial Narrow" w:hAnsi="Arial Narrow"/>
        </w:rPr>
        <w:t xml:space="preserve"> </w:t>
      </w:r>
      <w:r w:rsidRPr="00633245">
        <w:rPr>
          <w:rFonts w:ascii="Arial Narrow" w:hAnsi="Arial Narrow"/>
        </w:rPr>
        <w:t xml:space="preserve">foi proferida a decisão condenatória e o Estado a quem é solicitada a execução, o que </w:t>
      </w:r>
      <w:r>
        <w:rPr>
          <w:rFonts w:ascii="Arial Narrow" w:hAnsi="Arial Narrow"/>
        </w:rPr>
        <w:t xml:space="preserve"> </w:t>
      </w:r>
      <w:r w:rsidRPr="00633245">
        <w:rPr>
          <w:rFonts w:ascii="Arial Narrow" w:hAnsi="Arial Narrow"/>
        </w:rPr>
        <w:t xml:space="preserve">resulta expressamente do artigo 115.º, n.º 4, da Lei 144/99 e, no domínio do direito </w:t>
      </w:r>
      <w:r>
        <w:rPr>
          <w:rFonts w:ascii="Arial Narrow" w:hAnsi="Arial Narrow"/>
        </w:rPr>
        <w:t xml:space="preserve"> </w:t>
      </w:r>
      <w:r w:rsidRPr="00633245">
        <w:rPr>
          <w:rFonts w:ascii="Arial Narrow" w:hAnsi="Arial Narrow"/>
        </w:rPr>
        <w:t xml:space="preserve">convencional, com prevalência </w:t>
      </w:r>
      <w:r>
        <w:rPr>
          <w:rFonts w:ascii="Arial Narrow" w:hAnsi="Arial Narrow"/>
        </w:rPr>
        <w:t xml:space="preserve">sobre a Lei 144/99 </w:t>
      </w:r>
      <w:r w:rsidRPr="00633245">
        <w:rPr>
          <w:rFonts w:ascii="Arial Narrow" w:hAnsi="Arial Narrow"/>
        </w:rPr>
        <w:t>(artigo 3.º</w:t>
      </w:r>
      <w:r>
        <w:rPr>
          <w:rFonts w:ascii="Arial Narrow" w:hAnsi="Arial Narrow"/>
        </w:rPr>
        <w:t>)</w:t>
      </w:r>
      <w:r w:rsidRPr="00633245">
        <w:rPr>
          <w:rFonts w:ascii="Arial Narrow" w:hAnsi="Arial Narrow"/>
        </w:rPr>
        <w:t xml:space="preserve">, do artigo 3.º, n.º 1, al. f), da </w:t>
      </w:r>
      <w:r>
        <w:rPr>
          <w:rFonts w:ascii="Arial Narrow" w:hAnsi="Arial Narrow"/>
        </w:rPr>
        <w:t xml:space="preserve"> </w:t>
      </w:r>
      <w:r w:rsidRPr="00633245">
        <w:rPr>
          <w:rFonts w:ascii="Arial Narrow" w:hAnsi="Arial Narrow"/>
        </w:rPr>
        <w:t xml:space="preserve">Convenção relativa à Transferência de Pessoas Condenadas, de 21.3.1983, do Conselho </w:t>
      </w:r>
      <w:r>
        <w:rPr>
          <w:rFonts w:ascii="Arial Narrow" w:hAnsi="Arial Narrow"/>
        </w:rPr>
        <w:t xml:space="preserve"> </w:t>
      </w:r>
      <w:r w:rsidRPr="00633245">
        <w:rPr>
          <w:rFonts w:ascii="Arial Narrow" w:hAnsi="Arial Narrow"/>
        </w:rPr>
        <w:t xml:space="preserve">da Europa, e 3.º, n.º 1, al. f), da Convenção sobre a Transferência de Pessoas Condenadas </w:t>
      </w:r>
      <w:r>
        <w:rPr>
          <w:rFonts w:ascii="Arial Narrow" w:hAnsi="Arial Narrow"/>
        </w:rPr>
        <w:t xml:space="preserve"> </w:t>
      </w:r>
      <w:r w:rsidRPr="00633245">
        <w:rPr>
          <w:rFonts w:ascii="Arial Narrow" w:hAnsi="Arial Narrow"/>
        </w:rPr>
        <w:t xml:space="preserve">entre os Estados-Membros da CPLP). </w:t>
      </w:r>
      <w:r>
        <w:rPr>
          <w:rFonts w:ascii="Arial Narrow" w:hAnsi="Arial Narrow"/>
        </w:rPr>
        <w:t xml:space="preserve"> </w:t>
      </w:r>
    </w:p>
    <w:p w:rsidR="0005127D" w:rsidRDefault="0005127D" w:rsidP="00913D5B">
      <w:pPr>
        <w:spacing w:before="120"/>
        <w:ind w:left="1418"/>
        <w:jc w:val="both"/>
        <w:rPr>
          <w:rFonts w:ascii="Arial Narrow" w:hAnsi="Arial Narrow"/>
          <w:sz w:val="22"/>
          <w:szCs w:val="22"/>
        </w:rPr>
      </w:pPr>
      <w:r w:rsidRPr="003211EA">
        <w:rPr>
          <w:rFonts w:ascii="Arial Narrow" w:hAnsi="Arial Narrow"/>
          <w:sz w:val="22"/>
          <w:szCs w:val="22"/>
        </w:rPr>
        <w:t>O relatório explicativo da Convenção do Conselho da Europa enfatiza este ponto, sublinhando que o acordo constitui uma condição que confirma o princípio básico segundo o qual uma transferência exige o acordo dos dois Estados em todas e cada uma das transferências (acentuando este último aspecto, o Manual das Nações Unidas para a Transferência Internacional de Pessoas Condenadas, UNODC, 2012).</w:t>
      </w:r>
    </w:p>
    <w:p w:rsidR="0005127D" w:rsidRDefault="0005127D" w:rsidP="00913D5B">
      <w:pPr>
        <w:spacing w:before="120"/>
        <w:ind w:left="1418"/>
        <w:jc w:val="both"/>
        <w:rPr>
          <w:rFonts w:ascii="Arial Narrow" w:hAnsi="Arial Narrow"/>
          <w:sz w:val="22"/>
          <w:szCs w:val="22"/>
        </w:rPr>
      </w:pPr>
      <w:r>
        <w:rPr>
          <w:rFonts w:ascii="Arial Narrow" w:hAnsi="Arial Narrow"/>
          <w:sz w:val="22"/>
          <w:szCs w:val="22"/>
        </w:rPr>
        <w:t>A forma como o Estado exprime a aceitação da transferência, de modo a dar o seu acordo, é matéria da sua competência, a regular pelo direito interno, podendo esta decorrer de uma decisão judicial ou de uma decisão política, como revela o direito comparado.</w:t>
      </w:r>
    </w:p>
    <w:p w:rsidR="0005127D" w:rsidRDefault="0005127D" w:rsidP="00BF723E">
      <w:pPr>
        <w:numPr>
          <w:ilvl w:val="1"/>
          <w:numId w:val="36"/>
        </w:numPr>
        <w:spacing w:before="240"/>
        <w:ind w:left="992" w:hanging="635"/>
        <w:jc w:val="both"/>
        <w:rPr>
          <w:rFonts w:ascii="Arial Narrow" w:hAnsi="Arial Narrow"/>
          <w:szCs w:val="22"/>
        </w:rPr>
      </w:pPr>
      <w:r w:rsidRPr="00846A0E">
        <w:rPr>
          <w:rFonts w:ascii="Arial Narrow" w:hAnsi="Arial Narrow"/>
          <w:szCs w:val="22"/>
        </w:rPr>
        <w:t>A aceitação da transferência consubstanciando o acordo com o Estado estrangeiro, não se</w:t>
      </w:r>
      <w:r>
        <w:rPr>
          <w:rFonts w:ascii="Arial Narrow" w:hAnsi="Arial Narrow"/>
          <w:szCs w:val="22"/>
        </w:rPr>
        <w:t xml:space="preserve"> </w:t>
      </w:r>
      <w:r w:rsidRPr="00846A0E">
        <w:rPr>
          <w:rFonts w:ascii="Arial Narrow" w:hAnsi="Arial Narrow"/>
          <w:szCs w:val="22"/>
        </w:rPr>
        <w:t>inscreve na competência do Tribunal da Relação, sendo acto anterio</w:t>
      </w:r>
      <w:r>
        <w:rPr>
          <w:rFonts w:ascii="Arial Narrow" w:hAnsi="Arial Narrow"/>
          <w:szCs w:val="22"/>
        </w:rPr>
        <w:t>r</w:t>
      </w:r>
      <w:r w:rsidRPr="00846A0E">
        <w:rPr>
          <w:rFonts w:ascii="Arial Narrow" w:hAnsi="Arial Narrow"/>
          <w:szCs w:val="22"/>
        </w:rPr>
        <w:t xml:space="preserve"> à intervenção do tribunal (artigo 123.º, n.º 1, proémio). </w:t>
      </w:r>
    </w:p>
    <w:p w:rsidR="0005127D" w:rsidRPr="00846A0E" w:rsidRDefault="0005127D" w:rsidP="00BF723E">
      <w:pPr>
        <w:numPr>
          <w:ilvl w:val="1"/>
          <w:numId w:val="36"/>
        </w:numPr>
        <w:spacing w:before="240"/>
        <w:ind w:left="992" w:hanging="635"/>
        <w:jc w:val="both"/>
        <w:rPr>
          <w:rFonts w:ascii="Arial Narrow" w:hAnsi="Arial Narrow"/>
          <w:szCs w:val="22"/>
        </w:rPr>
      </w:pPr>
      <w:r w:rsidRPr="00846A0E">
        <w:rPr>
          <w:rFonts w:ascii="Arial Narrow" w:hAnsi="Arial Narrow"/>
          <w:szCs w:val="22"/>
        </w:rPr>
        <w:t xml:space="preserve">De acordo com a Lei </w:t>
      </w:r>
      <w:r>
        <w:rPr>
          <w:rFonts w:ascii="Arial Narrow" w:hAnsi="Arial Narrow"/>
          <w:szCs w:val="22"/>
        </w:rPr>
        <w:t xml:space="preserve">n.º </w:t>
      </w:r>
      <w:r w:rsidRPr="00846A0E">
        <w:rPr>
          <w:rFonts w:ascii="Arial Narrow" w:hAnsi="Arial Narrow"/>
          <w:szCs w:val="22"/>
        </w:rPr>
        <w:t>144/99, o processo judicial incluído nos procedimentos de transferência visa apenas</w:t>
      </w:r>
      <w:r>
        <w:rPr>
          <w:rFonts w:ascii="Arial Narrow" w:hAnsi="Arial Narrow"/>
          <w:szCs w:val="22"/>
        </w:rPr>
        <w:t>:</w:t>
      </w:r>
      <w:r w:rsidRPr="00846A0E">
        <w:rPr>
          <w:rFonts w:ascii="Arial Narrow" w:hAnsi="Arial Narrow"/>
          <w:szCs w:val="22"/>
        </w:rPr>
        <w:t xml:space="preserve"> </w:t>
      </w:r>
    </w:p>
    <w:p w:rsidR="0005127D" w:rsidRPr="00846A0E" w:rsidRDefault="0005127D" w:rsidP="00430836">
      <w:pPr>
        <w:numPr>
          <w:ilvl w:val="1"/>
          <w:numId w:val="37"/>
        </w:numPr>
        <w:tabs>
          <w:tab w:val="left" w:pos="993"/>
        </w:tabs>
        <w:spacing w:before="120"/>
        <w:jc w:val="both"/>
        <w:rPr>
          <w:rFonts w:ascii="Arial Narrow" w:hAnsi="Arial Narrow"/>
          <w:szCs w:val="22"/>
        </w:rPr>
      </w:pPr>
      <w:r>
        <w:rPr>
          <w:rFonts w:ascii="Arial Narrow" w:hAnsi="Arial Narrow"/>
          <w:szCs w:val="22"/>
        </w:rPr>
        <w:t>N</w:t>
      </w:r>
      <w:r w:rsidRPr="00846A0E">
        <w:rPr>
          <w:rFonts w:ascii="Arial Narrow" w:hAnsi="Arial Narrow"/>
          <w:szCs w:val="22"/>
        </w:rPr>
        <w:t>o caso de transferência para o estrangeiro, a verificação do consentimento livre e informado do condenado e a decisão sobre o pedido deste (cfr. artigos 117.º a 120.º);</w:t>
      </w:r>
    </w:p>
    <w:p w:rsidR="0005127D" w:rsidRPr="00846A0E" w:rsidRDefault="0005127D" w:rsidP="00430836">
      <w:pPr>
        <w:numPr>
          <w:ilvl w:val="1"/>
          <w:numId w:val="37"/>
        </w:numPr>
        <w:spacing w:before="120"/>
        <w:jc w:val="both"/>
        <w:rPr>
          <w:rFonts w:ascii="Arial Narrow" w:hAnsi="Arial Narrow"/>
          <w:szCs w:val="22"/>
        </w:rPr>
      </w:pPr>
      <w:r>
        <w:rPr>
          <w:rFonts w:ascii="Arial Narrow" w:hAnsi="Arial Narrow"/>
          <w:szCs w:val="22"/>
        </w:rPr>
        <w:t>N</w:t>
      </w:r>
      <w:r w:rsidRPr="00846A0E">
        <w:rPr>
          <w:rFonts w:ascii="Arial Narrow" w:hAnsi="Arial Narrow"/>
          <w:szCs w:val="22"/>
        </w:rPr>
        <w:t>o caso de transferência para Portugal, a revisão e confirmação da sentença condenatória estrangeira, para que esta possa ser executada em Portugal (cfr. artigo 123.º e 100.º)</w:t>
      </w:r>
    </w:p>
    <w:p w:rsidR="0005127D" w:rsidRPr="006238BC" w:rsidRDefault="0005127D" w:rsidP="00BF723E">
      <w:pPr>
        <w:numPr>
          <w:ilvl w:val="1"/>
          <w:numId w:val="36"/>
        </w:numPr>
        <w:spacing w:before="240"/>
        <w:ind w:left="992" w:hanging="635"/>
        <w:jc w:val="both"/>
        <w:rPr>
          <w:rFonts w:ascii="Arial Narrow" w:hAnsi="Arial Narrow"/>
        </w:rPr>
      </w:pPr>
      <w:r>
        <w:rPr>
          <w:rFonts w:ascii="Arial Narrow" w:hAnsi="Arial Narrow"/>
        </w:rPr>
        <w:t>Não estando a prestação de acordo delegada na competência da PGR, não estando prevista a possibilidade de delegação, nem se inscrevendo a celebração de acordo com Estado estrangeiro nas competências da PGR, suscitam-se sérias dificuldades nos casos em que a PGR exprime a sua concordância à transferência com referência ao artigo 115.º, n.º 4, da Lei 144/99, não podendo concluir-se, no Tribunal da Relação, pela verificação dos requisitos para a transferência (nos quais se inclui o referido acordo entre os Estados).</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Para além disso, o despacho que declara a admissibilidade do pedido deverá conter a fundamentação, em concreto, quanto à verificação de cada um dos requisitos, que poderá traduzir-se em remissão para um documento (informação) que lhe sirva de suporte.</w:t>
      </w:r>
    </w:p>
    <w:p w:rsidR="0005127D" w:rsidRPr="00633245" w:rsidRDefault="0005127D" w:rsidP="00913D5B">
      <w:pPr>
        <w:spacing w:before="120"/>
        <w:ind w:left="1418"/>
        <w:jc w:val="both"/>
        <w:rPr>
          <w:rFonts w:ascii="Arial Narrow" w:hAnsi="Arial Narrow"/>
        </w:rPr>
      </w:pPr>
      <w:r w:rsidRPr="003211EA">
        <w:rPr>
          <w:rFonts w:ascii="Arial Narrow" w:hAnsi="Arial Narrow"/>
          <w:sz w:val="22"/>
          <w:szCs w:val="22"/>
        </w:rPr>
        <w:t>De notar, a este propósito, que, nos procedimentos anteriores à delegação de competências na Procuradora-Geral da República, o despacho da Ministra da Justiça que declarava a admissibilidade do pedido fazia expressa refer</w:t>
      </w:r>
      <w:r>
        <w:rPr>
          <w:rFonts w:ascii="Arial Narrow" w:hAnsi="Arial Narrow"/>
          <w:sz w:val="22"/>
          <w:szCs w:val="22"/>
        </w:rPr>
        <w:t>ê</w:t>
      </w:r>
      <w:r w:rsidRPr="003211EA">
        <w:rPr>
          <w:rFonts w:ascii="Arial Narrow" w:hAnsi="Arial Narrow"/>
          <w:sz w:val="22"/>
          <w:szCs w:val="22"/>
        </w:rPr>
        <w:t>ncia à informação prestada pela PGR, incorporando-o nos fundamentos do despacho</w:t>
      </w:r>
      <w:r w:rsidRPr="00F91A1B">
        <w:rPr>
          <w:rFonts w:ascii="Arial Narrow" w:hAnsi="Arial Narrow"/>
        </w:rPr>
        <w:t>.</w:t>
      </w:r>
    </w:p>
    <w:p w:rsidR="0005127D" w:rsidRPr="00E41497" w:rsidRDefault="0005127D" w:rsidP="00BF723E">
      <w:pPr>
        <w:numPr>
          <w:ilvl w:val="0"/>
          <w:numId w:val="36"/>
        </w:numPr>
        <w:spacing w:before="480"/>
        <w:ind w:left="357" w:hanging="357"/>
        <w:jc w:val="both"/>
        <w:rPr>
          <w:rFonts w:ascii="Arial Narrow" w:hAnsi="Arial Narrow"/>
          <w:b/>
          <w:i/>
        </w:rPr>
      </w:pPr>
      <w:r w:rsidRPr="00E41497">
        <w:rPr>
          <w:rFonts w:ascii="Arial Narrow" w:hAnsi="Arial Narrow"/>
          <w:b/>
          <w:i/>
        </w:rPr>
        <w:t xml:space="preserve">Promoção do MP; forma e conteúdo; referência às convenções – </w:t>
      </w:r>
      <w:r>
        <w:rPr>
          <w:rFonts w:ascii="Arial Narrow" w:hAnsi="Arial Narrow"/>
          <w:b/>
          <w:i/>
        </w:rPr>
        <w:t>artigos</w:t>
      </w:r>
      <w:r w:rsidRPr="00E41497">
        <w:rPr>
          <w:rFonts w:ascii="Arial Narrow" w:hAnsi="Arial Narrow"/>
          <w:b/>
          <w:i/>
        </w:rPr>
        <w:t xml:space="preserve"> 3</w:t>
      </w:r>
      <w:r>
        <w:rPr>
          <w:rFonts w:ascii="Arial Narrow" w:hAnsi="Arial Narrow"/>
          <w:b/>
          <w:i/>
        </w:rPr>
        <w:t>.º e</w:t>
      </w:r>
      <w:r w:rsidRPr="00E41497">
        <w:rPr>
          <w:rFonts w:ascii="Arial Narrow" w:hAnsi="Arial Narrow"/>
          <w:b/>
          <w:i/>
        </w:rPr>
        <w:t xml:space="preserve"> 120</w:t>
      </w:r>
      <w:r>
        <w:rPr>
          <w:rFonts w:ascii="Arial Narrow" w:hAnsi="Arial Narrow"/>
          <w:b/>
          <w:i/>
        </w:rPr>
        <w:t xml:space="preserve">.º, n.º </w:t>
      </w:r>
      <w:r w:rsidRPr="00E41497">
        <w:rPr>
          <w:rFonts w:ascii="Arial Narrow" w:hAnsi="Arial Narrow"/>
          <w:b/>
          <w:i/>
        </w:rPr>
        <w:t>2</w:t>
      </w:r>
      <w:r>
        <w:rPr>
          <w:rFonts w:ascii="Arial Narrow" w:hAnsi="Arial Narrow"/>
          <w:b/>
          <w:i/>
        </w:rPr>
        <w:t>,</w:t>
      </w:r>
      <w:r w:rsidRPr="00E41497">
        <w:rPr>
          <w:rFonts w:ascii="Arial Narrow" w:hAnsi="Arial Narrow"/>
          <w:b/>
          <w:i/>
        </w:rPr>
        <w:t xml:space="preserve"> </w:t>
      </w:r>
      <w:r>
        <w:rPr>
          <w:rFonts w:ascii="Arial Narrow" w:hAnsi="Arial Narrow"/>
          <w:b/>
          <w:i/>
        </w:rPr>
        <w:t>da Lei n.º 144/99</w:t>
      </w:r>
    </w:p>
    <w:p w:rsidR="0005127D" w:rsidRDefault="0005127D" w:rsidP="00BF723E">
      <w:pPr>
        <w:numPr>
          <w:ilvl w:val="1"/>
          <w:numId w:val="36"/>
        </w:numPr>
        <w:spacing w:before="360"/>
        <w:ind w:left="992" w:hanging="635"/>
        <w:jc w:val="both"/>
        <w:rPr>
          <w:rFonts w:ascii="Arial Narrow" w:hAnsi="Arial Narrow"/>
        </w:rPr>
      </w:pPr>
      <w:r>
        <w:rPr>
          <w:rFonts w:ascii="Arial Narrow" w:hAnsi="Arial Narrow"/>
        </w:rPr>
        <w:t>Ao submeter o pedido de transferência à apreciação do Tribunal da Relação, para efeitos de homologação judicial do consentimento, o Ministério Público verifica o expediente recebido da PGR, sendo de solicitar eventuais elementos em falta para verificação do preenchimento dos requisitos exigidos.</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O requerimento deverá fazer expressa referência ao instrumento convencional aplicável, por força do artigo 3.º da Lei n.º 144/99, nomeadamente à Convenção do Conselho da Europa de 1983 relativa à Transferência de Pessoas Condenadas ou à Convenção sobre a Transferência de Pessoas Condenadas entre os Estados-Membros da CPLP, consoante os casos.</w:t>
      </w:r>
    </w:p>
    <w:p w:rsidR="0005127D" w:rsidRPr="00344F64" w:rsidRDefault="0005127D" w:rsidP="00913D5B">
      <w:pPr>
        <w:spacing w:before="120"/>
        <w:ind w:left="1418"/>
        <w:jc w:val="both"/>
        <w:rPr>
          <w:rFonts w:ascii="Arial Narrow" w:hAnsi="Arial Narrow"/>
          <w:sz w:val="22"/>
        </w:rPr>
      </w:pPr>
      <w:r w:rsidRPr="00344F64">
        <w:rPr>
          <w:rFonts w:ascii="Arial Narrow" w:hAnsi="Arial Narrow"/>
          <w:sz w:val="22"/>
        </w:rPr>
        <w:t>De notar que estes instrumentos divergem quanto ao tempo de prisão a cumprir à data da recepção do pedido: enquanto no primeiro bastam 6 meses, no segundo é necessário um ano (cf</w:t>
      </w:r>
      <w:r>
        <w:rPr>
          <w:rFonts w:ascii="Arial Narrow" w:hAnsi="Arial Narrow"/>
          <w:sz w:val="22"/>
        </w:rPr>
        <w:t>r</w:t>
      </w:r>
      <w:r w:rsidRPr="00344F64">
        <w:rPr>
          <w:rFonts w:ascii="Arial Narrow" w:hAnsi="Arial Narrow"/>
          <w:sz w:val="22"/>
        </w:rPr>
        <w:t>. artigo 3.º de ambas as convenções).</w:t>
      </w:r>
    </w:p>
    <w:p w:rsidR="0005127D" w:rsidRPr="00B17FCF" w:rsidRDefault="0005127D" w:rsidP="00BF723E">
      <w:pPr>
        <w:numPr>
          <w:ilvl w:val="1"/>
          <w:numId w:val="36"/>
        </w:numPr>
        <w:spacing w:before="240"/>
        <w:ind w:left="992" w:hanging="635"/>
        <w:jc w:val="both"/>
        <w:rPr>
          <w:rFonts w:ascii="Arial Narrow" w:hAnsi="Arial Narrow"/>
        </w:rPr>
      </w:pPr>
      <w:r>
        <w:rPr>
          <w:rFonts w:ascii="Arial Narrow" w:hAnsi="Arial Narrow"/>
        </w:rPr>
        <w:t xml:space="preserve">Verificam-se situações em que, tendo o pedido de transferência para o estrangeiro sido recebido em tempo, o atraso no envio do expediente ao MP no Tribunal da Relação conduz a que já não se verifique o requisito do tempo mínimo de prisão a cumprir no momento em que o MP promove a audição do condenado para prestação do consentimento, o que poderá pôr em causa, não só a utilidade e a exequibilidade da decisão do tribunal, mas também a própria finalidade de reinserção social do condenado. </w:t>
      </w:r>
    </w:p>
    <w:p w:rsidR="0005127D" w:rsidRPr="00304FFE" w:rsidRDefault="0005127D" w:rsidP="00304FFE">
      <w:pPr>
        <w:spacing w:before="120"/>
        <w:ind w:left="1418"/>
        <w:jc w:val="both"/>
        <w:rPr>
          <w:rFonts w:ascii="Arial Narrow" w:hAnsi="Arial Narrow"/>
          <w:sz w:val="22"/>
        </w:rPr>
      </w:pPr>
      <w:r w:rsidRPr="00304FFE">
        <w:rPr>
          <w:rFonts w:ascii="Arial Narrow" w:hAnsi="Arial Narrow"/>
          <w:sz w:val="22"/>
        </w:rPr>
        <w:t>Lê-se, a este propósito, no relatório explicativo da Convenção do Conselho da Europa de 1983:</w:t>
      </w:r>
    </w:p>
    <w:p w:rsidR="0005127D" w:rsidRDefault="0005127D" w:rsidP="00913D5B">
      <w:pPr>
        <w:spacing w:before="120"/>
        <w:ind w:left="1418"/>
        <w:jc w:val="both"/>
        <w:rPr>
          <w:rFonts w:ascii="Arial Narrow" w:hAnsi="Arial Narrow"/>
          <w:sz w:val="22"/>
          <w:szCs w:val="22"/>
        </w:rPr>
      </w:pPr>
      <w:r w:rsidRPr="00941FCE">
        <w:rPr>
          <w:rFonts w:ascii="Arial Narrow" w:hAnsi="Arial Narrow"/>
          <w:sz w:val="22"/>
          <w:szCs w:val="22"/>
        </w:rPr>
        <w:t>“</w:t>
      </w:r>
      <w:r>
        <w:rPr>
          <w:rFonts w:ascii="Arial Narrow" w:hAnsi="Arial Narrow"/>
          <w:sz w:val="22"/>
          <w:szCs w:val="22"/>
        </w:rPr>
        <w:t>A</w:t>
      </w:r>
      <w:r w:rsidRPr="00941FCE">
        <w:rPr>
          <w:rFonts w:ascii="Arial Narrow" w:hAnsi="Arial Narrow"/>
          <w:sz w:val="22"/>
          <w:szCs w:val="22"/>
        </w:rPr>
        <w:t xml:space="preserve"> terceira condição [para a transferência] diz respeito à duração da condenação que resta cumprir. Para que a convenção seja aplicável, o período de tempo a cumprir deve ter a duração mínima de 6 meses ou ser indeterminado. Duas considerações conduziram à inclusão desta condição: a primeira é que a convenção é concebida como um instrumento para a reintegração social do condenado após o cumprimento da pena, um objectivo que só pode ser conseguido nos casos em que o período remanescente da pena a cumprir é suficientemente longo. A segunda razão é a da relação custo-</w:t>
      </w:r>
      <w:r>
        <w:rPr>
          <w:rFonts w:ascii="Arial Narrow" w:hAnsi="Arial Narrow"/>
          <w:sz w:val="22"/>
          <w:szCs w:val="22"/>
        </w:rPr>
        <w:t>benefício</w:t>
      </w:r>
      <w:r w:rsidRPr="00941FCE">
        <w:rPr>
          <w:rFonts w:ascii="Arial Narrow" w:hAnsi="Arial Narrow"/>
          <w:sz w:val="22"/>
          <w:szCs w:val="22"/>
        </w:rPr>
        <w:t xml:space="preserve"> do sistema; a transferência de um prisioneiro tem custos elevados, pelo que as despesas a suportar pelos Estados envolvidos na transferência devem ser proporcionais ao resultado que se pretende atingir, o que exclui o recurso à transferência quando a pessoa em causa tem a cumprir uma condenação de curta duração”</w:t>
      </w:r>
      <w:r>
        <w:rPr>
          <w:rFonts w:ascii="Arial Narrow" w:hAnsi="Arial Narrow"/>
          <w:sz w:val="22"/>
          <w:szCs w:val="22"/>
        </w:rPr>
        <w:t>.</w:t>
      </w:r>
    </w:p>
    <w:p w:rsidR="0005127D" w:rsidRPr="00C3585D" w:rsidRDefault="0005127D" w:rsidP="00BF723E">
      <w:pPr>
        <w:numPr>
          <w:ilvl w:val="1"/>
          <w:numId w:val="36"/>
        </w:numPr>
        <w:spacing w:before="240"/>
        <w:ind w:left="992" w:hanging="635"/>
        <w:jc w:val="both"/>
        <w:rPr>
          <w:rFonts w:ascii="Arial Narrow" w:hAnsi="Arial Narrow"/>
        </w:rPr>
      </w:pPr>
      <w:r w:rsidRPr="00941FCE">
        <w:rPr>
          <w:rFonts w:ascii="Arial Narrow" w:hAnsi="Arial Narrow"/>
        </w:rPr>
        <w:t>Nesta</w:t>
      </w:r>
      <w:r>
        <w:rPr>
          <w:rFonts w:ascii="Arial Narrow" w:hAnsi="Arial Narrow"/>
        </w:rPr>
        <w:t>s circunstâncias</w:t>
      </w:r>
      <w:r w:rsidRPr="00941FCE">
        <w:rPr>
          <w:rFonts w:ascii="Arial Narrow" w:hAnsi="Arial Narrow"/>
        </w:rPr>
        <w:t>,</w:t>
      </w:r>
      <w:r>
        <w:rPr>
          <w:rFonts w:ascii="Arial Narrow" w:hAnsi="Arial Narrow"/>
        </w:rPr>
        <w:t xml:space="preserve"> </w:t>
      </w:r>
      <w:r w:rsidRPr="00941FCE">
        <w:rPr>
          <w:rFonts w:ascii="Arial Narrow" w:hAnsi="Arial Narrow"/>
        </w:rPr>
        <w:t xml:space="preserve">o MP </w:t>
      </w:r>
      <w:r>
        <w:rPr>
          <w:rFonts w:ascii="Arial Narrow" w:hAnsi="Arial Narrow"/>
        </w:rPr>
        <w:t xml:space="preserve">é confrontado com a necessidade </w:t>
      </w:r>
      <w:r w:rsidRPr="00941FCE">
        <w:rPr>
          <w:rFonts w:ascii="Arial Narrow" w:hAnsi="Arial Narrow"/>
        </w:rPr>
        <w:t xml:space="preserve">de ponderar os interesses em presença, o que </w:t>
      </w:r>
      <w:r>
        <w:rPr>
          <w:rFonts w:ascii="Arial Narrow" w:hAnsi="Arial Narrow"/>
        </w:rPr>
        <w:t xml:space="preserve"> </w:t>
      </w:r>
      <w:r w:rsidRPr="00941FCE">
        <w:rPr>
          <w:rFonts w:ascii="Arial Narrow" w:hAnsi="Arial Narrow"/>
        </w:rPr>
        <w:t>poderá envolver a</w:t>
      </w:r>
      <w:r>
        <w:rPr>
          <w:rFonts w:ascii="Arial Narrow" w:hAnsi="Arial Narrow"/>
        </w:rPr>
        <w:t xml:space="preserve"> </w:t>
      </w:r>
      <w:r w:rsidRPr="00941FCE">
        <w:rPr>
          <w:rFonts w:ascii="Arial Narrow" w:hAnsi="Arial Narrow"/>
        </w:rPr>
        <w:t>emissão de parecer negativo à autorização da transferência ou mesmo, em casos-limite, a não promoção do processo judicial de verificação de consentimento</w:t>
      </w:r>
      <w:r>
        <w:rPr>
          <w:rFonts w:ascii="Arial Narrow" w:hAnsi="Arial Narrow"/>
        </w:rPr>
        <w:t>,</w:t>
      </w:r>
      <w:r w:rsidRPr="00941FCE">
        <w:rPr>
          <w:rFonts w:ascii="Arial Narrow" w:hAnsi="Arial Narrow"/>
        </w:rPr>
        <w:t xml:space="preserve"> justificada pelo princípio da não admissibilidade de actos processuais inúteis.</w:t>
      </w:r>
    </w:p>
    <w:p w:rsidR="0005127D" w:rsidRPr="00E41497" w:rsidRDefault="0005127D" w:rsidP="00BF723E">
      <w:pPr>
        <w:numPr>
          <w:ilvl w:val="0"/>
          <w:numId w:val="36"/>
        </w:numPr>
        <w:spacing w:before="480"/>
        <w:ind w:left="357" w:hanging="357"/>
        <w:jc w:val="both"/>
        <w:rPr>
          <w:rFonts w:ascii="Arial Narrow" w:hAnsi="Arial Narrow"/>
          <w:b/>
          <w:i/>
        </w:rPr>
      </w:pPr>
      <w:r w:rsidRPr="00E41497">
        <w:rPr>
          <w:rFonts w:ascii="Arial Narrow" w:hAnsi="Arial Narrow"/>
          <w:b/>
          <w:i/>
        </w:rPr>
        <w:t>Verificação por agente consular – art</w:t>
      </w:r>
      <w:r>
        <w:rPr>
          <w:rFonts w:ascii="Arial Narrow" w:hAnsi="Arial Narrow"/>
          <w:b/>
          <w:i/>
        </w:rPr>
        <w:t>igos</w:t>
      </w:r>
      <w:r w:rsidRPr="00E41497">
        <w:rPr>
          <w:rFonts w:ascii="Arial Narrow" w:hAnsi="Arial Narrow"/>
          <w:b/>
          <w:i/>
        </w:rPr>
        <w:t xml:space="preserve"> 120</w:t>
      </w:r>
      <w:r>
        <w:rPr>
          <w:rFonts w:ascii="Arial Narrow" w:hAnsi="Arial Narrow"/>
          <w:b/>
          <w:i/>
        </w:rPr>
        <w:t>.º, n.º 4, da Lei n.º 144/99, e 3.º, n.º 2, das Convenções CoE 1983 e CPLP</w:t>
      </w:r>
    </w:p>
    <w:p w:rsidR="0005127D" w:rsidRPr="00C3585D" w:rsidRDefault="0005127D" w:rsidP="00BF723E">
      <w:pPr>
        <w:numPr>
          <w:ilvl w:val="1"/>
          <w:numId w:val="36"/>
        </w:numPr>
        <w:spacing w:before="360"/>
        <w:ind w:left="992" w:hanging="635"/>
        <w:jc w:val="both"/>
        <w:rPr>
          <w:rFonts w:ascii="Arial Narrow" w:hAnsi="Arial Narrow"/>
        </w:rPr>
      </w:pPr>
      <w:r>
        <w:rPr>
          <w:rFonts w:ascii="Arial Narrow" w:hAnsi="Arial Narrow"/>
        </w:rPr>
        <w:t>Com vista à satisfação do disposto nos artigos 120.º, n.º 4, da Lei 144/99 e 3.º, n.º 2, das  Convenções do Conselho da Europa de 1983 e da CPLP – que asseguram a possibilidade  de o Estado estrangeiro verificar, por agente consular ou outro funcionário desse Estado,  que o consentimento informado do condenado é prestado voluntariamente – é aconselhável  promover que sejam informados os serviços consulares da data designada para a audição.</w:t>
      </w:r>
    </w:p>
    <w:p w:rsidR="0005127D" w:rsidRPr="00E41497" w:rsidRDefault="0005127D" w:rsidP="00BF723E">
      <w:pPr>
        <w:numPr>
          <w:ilvl w:val="0"/>
          <w:numId w:val="36"/>
        </w:numPr>
        <w:spacing w:before="480"/>
        <w:ind w:left="357" w:hanging="357"/>
        <w:jc w:val="both"/>
        <w:rPr>
          <w:rFonts w:ascii="Arial Narrow" w:hAnsi="Arial Narrow"/>
          <w:b/>
          <w:i/>
        </w:rPr>
      </w:pPr>
      <w:r w:rsidRPr="00E41497">
        <w:rPr>
          <w:rFonts w:ascii="Arial Narrow" w:hAnsi="Arial Narrow"/>
          <w:b/>
          <w:i/>
        </w:rPr>
        <w:t>Revisão e confirmação da sentença estrangeira;</w:t>
      </w:r>
      <w:r>
        <w:rPr>
          <w:rFonts w:ascii="Arial Narrow" w:hAnsi="Arial Narrow"/>
          <w:b/>
          <w:i/>
        </w:rPr>
        <w:t xml:space="preserve"> execução de sentença penal estrangeira;</w:t>
      </w:r>
      <w:r w:rsidRPr="00E41497">
        <w:rPr>
          <w:rFonts w:ascii="Arial Narrow" w:hAnsi="Arial Narrow"/>
          <w:b/>
          <w:i/>
        </w:rPr>
        <w:t xml:space="preserve"> condições e requisitos; inobservância e poderes da Relação – ar</w:t>
      </w:r>
      <w:r>
        <w:rPr>
          <w:rFonts w:ascii="Arial Narrow" w:hAnsi="Arial Narrow"/>
          <w:b/>
          <w:i/>
        </w:rPr>
        <w:t>tigos</w:t>
      </w:r>
      <w:r w:rsidRPr="00E41497">
        <w:rPr>
          <w:rFonts w:ascii="Arial Narrow" w:hAnsi="Arial Narrow"/>
          <w:b/>
          <w:i/>
        </w:rPr>
        <w:t xml:space="preserve"> 96</w:t>
      </w:r>
      <w:r>
        <w:rPr>
          <w:rFonts w:ascii="Arial Narrow" w:hAnsi="Arial Narrow"/>
          <w:b/>
          <w:i/>
        </w:rPr>
        <w:t>.º</w:t>
      </w:r>
      <w:r w:rsidRPr="00E41497">
        <w:rPr>
          <w:rFonts w:ascii="Arial Narrow" w:hAnsi="Arial Narrow"/>
          <w:b/>
          <w:i/>
        </w:rPr>
        <w:t>, 99</w:t>
      </w:r>
      <w:r>
        <w:rPr>
          <w:rFonts w:ascii="Arial Narrow" w:hAnsi="Arial Narrow"/>
          <w:b/>
          <w:i/>
        </w:rPr>
        <w:t xml:space="preserve">.º, n.º </w:t>
      </w:r>
      <w:r w:rsidRPr="00E41497">
        <w:rPr>
          <w:rFonts w:ascii="Arial Narrow" w:hAnsi="Arial Narrow"/>
          <w:b/>
          <w:i/>
        </w:rPr>
        <w:t>4</w:t>
      </w:r>
      <w:r>
        <w:rPr>
          <w:rFonts w:ascii="Arial Narrow" w:hAnsi="Arial Narrow"/>
          <w:b/>
          <w:i/>
        </w:rPr>
        <w:t>,</w:t>
      </w:r>
      <w:r w:rsidRPr="00E41497">
        <w:rPr>
          <w:rFonts w:ascii="Arial Narrow" w:hAnsi="Arial Narrow"/>
          <w:b/>
          <w:i/>
        </w:rPr>
        <w:t xml:space="preserve"> </w:t>
      </w:r>
      <w:r>
        <w:rPr>
          <w:rFonts w:ascii="Arial Narrow" w:hAnsi="Arial Narrow"/>
          <w:b/>
          <w:i/>
        </w:rPr>
        <w:t>e 100.º da Lei n.º 144/99 e 9.º e 10.º da</w:t>
      </w:r>
      <w:r w:rsidRPr="00E41497">
        <w:rPr>
          <w:rFonts w:ascii="Arial Narrow" w:hAnsi="Arial Narrow"/>
          <w:b/>
          <w:i/>
        </w:rPr>
        <w:t xml:space="preserve"> Convenção CoE 1983 </w:t>
      </w:r>
    </w:p>
    <w:p w:rsidR="0005127D" w:rsidRDefault="0005127D" w:rsidP="00BF723E">
      <w:pPr>
        <w:numPr>
          <w:ilvl w:val="1"/>
          <w:numId w:val="36"/>
        </w:numPr>
        <w:spacing w:before="360"/>
        <w:ind w:left="992" w:hanging="635"/>
        <w:jc w:val="both"/>
        <w:rPr>
          <w:rFonts w:ascii="Arial Narrow" w:hAnsi="Arial Narrow"/>
        </w:rPr>
      </w:pPr>
      <w:r>
        <w:rPr>
          <w:rFonts w:ascii="Arial Narrow" w:hAnsi="Arial Narrow"/>
        </w:rPr>
        <w:t>A execução de sentença penal estrangeira em Portugal depende da verificação das condições previstas na Lei n.º 144/99, quer o condenado esteja em território português, quer quando seja transferido para Portugal para cumprimento de pena, quer nas situações em que Portugal extradita ou entrega o condenado em execução de MDE na condição de este ser devolvido a Portugal para cumprimento de pena aplicada no estrangeiro (artigos 96.º e 32.º, n.º 2, da Lei n.º 144/99 e 12.º, n.º 1, g), da Lei n.º 65/2003).</w:t>
      </w:r>
    </w:p>
    <w:p w:rsidR="0005127D" w:rsidRPr="00365E4F" w:rsidRDefault="0005127D" w:rsidP="00B35DDD">
      <w:pPr>
        <w:spacing w:before="120"/>
        <w:ind w:left="1418"/>
        <w:jc w:val="both"/>
        <w:rPr>
          <w:rFonts w:ascii="Arial Narrow" w:hAnsi="Arial Narrow"/>
          <w:sz w:val="22"/>
        </w:rPr>
      </w:pPr>
      <w:r w:rsidRPr="00365E4F">
        <w:rPr>
          <w:rFonts w:ascii="Arial Narrow" w:hAnsi="Arial Narrow"/>
          <w:sz w:val="22"/>
        </w:rPr>
        <w:t>De notar que, nos termos do artigo 96.º, n.º 6, da Lei n.º 144/99, a execução da sentença em Portugal tem lugar quando tiver sido concedida a extradição de cidadãos portugueses para efeitos de procedimento criminal com a garantia de que estes serão devolvidos a Portugal para cumprimento da pena ou medida aplicada, após revisão e confirmação da sentença condenatória (artigos 32, n.ºs 2, e 3 da Lei 144/99), independentemente da verificação das condições previstas no artigo 96.º, n.º 1.</w:t>
      </w:r>
    </w:p>
    <w:p w:rsidR="0005127D" w:rsidRDefault="0005127D" w:rsidP="00BF723E">
      <w:pPr>
        <w:numPr>
          <w:ilvl w:val="1"/>
          <w:numId w:val="36"/>
        </w:numPr>
        <w:tabs>
          <w:tab w:val="left" w:pos="993"/>
        </w:tabs>
        <w:spacing w:before="240"/>
        <w:ind w:left="992" w:hanging="635"/>
        <w:jc w:val="both"/>
        <w:rPr>
          <w:rFonts w:ascii="Arial Narrow" w:hAnsi="Arial Narrow"/>
        </w:rPr>
      </w:pPr>
      <w:r>
        <w:rPr>
          <w:rFonts w:ascii="Arial Narrow" w:hAnsi="Arial Narrow"/>
        </w:rPr>
        <w:t>A possibilidade de extradição de cidadãos nacionais mediante a prestação de garantia de devolução para cumprimento de pena em Portugal encontrava-se prevista na Convenção</w:t>
      </w:r>
      <w:r w:rsidRPr="00F910D4">
        <w:t xml:space="preserve"> </w:t>
      </w:r>
      <w:r w:rsidRPr="00F910D4">
        <w:rPr>
          <w:rFonts w:ascii="Arial Narrow" w:hAnsi="Arial Narrow"/>
        </w:rPr>
        <w:t>de 27 de Setembro de 1996, relativa à extradição entre</w:t>
      </w:r>
      <w:r>
        <w:rPr>
          <w:rFonts w:ascii="Arial Narrow" w:hAnsi="Arial Narrow"/>
        </w:rPr>
        <w:t xml:space="preserve"> </w:t>
      </w:r>
      <w:r w:rsidRPr="00F910D4">
        <w:rPr>
          <w:rFonts w:ascii="Arial Narrow" w:hAnsi="Arial Narrow"/>
        </w:rPr>
        <w:t>os Estados-Membros da União Europeia</w:t>
      </w:r>
      <w:r>
        <w:rPr>
          <w:rFonts w:ascii="Arial Narrow" w:hAnsi="Arial Narrow"/>
        </w:rPr>
        <w:t xml:space="preserve"> (Dublin, 1996), que completava e facilitava a aplicação dos instrumentos convencionais relativos à extradição no âmbito das relações entre os Estados-Membros da UE, e nos respectivos instrumentos de ratificação (DPR e RAR 40/98, de 5.9). </w:t>
      </w:r>
    </w:p>
    <w:p w:rsidR="0005127D" w:rsidRPr="000B0CB2" w:rsidRDefault="0005127D" w:rsidP="00365E4F">
      <w:pPr>
        <w:spacing w:before="120"/>
        <w:ind w:left="1418"/>
        <w:jc w:val="both"/>
        <w:rPr>
          <w:rFonts w:ascii="Arial Narrow" w:hAnsi="Arial Narrow"/>
          <w:sz w:val="22"/>
        </w:rPr>
      </w:pPr>
      <w:r w:rsidRPr="000B0CB2">
        <w:rPr>
          <w:rFonts w:ascii="Arial Narrow" w:hAnsi="Arial Narrow"/>
          <w:sz w:val="22"/>
        </w:rPr>
        <w:t>Estes instrumentos deixaram de se aplicar no âmbito das relações entre os Estados-Membros da UE a partir de 1.1.2004, sendo substituídos pelo sistema de entrega do MDE (cf. artigos 40.º da Lei 65/2003 e 31.º da Decisão-Quadro sobre o MDE</w:t>
      </w:r>
      <w:r>
        <w:rPr>
          <w:rFonts w:ascii="Arial Narrow" w:hAnsi="Arial Narrow"/>
          <w:sz w:val="22"/>
        </w:rPr>
        <w:t>, não transposto para o direito interno</w:t>
      </w:r>
      <w:r w:rsidRPr="000B0CB2">
        <w:rPr>
          <w:rFonts w:ascii="Arial Narrow" w:hAnsi="Arial Narrow"/>
          <w:sz w:val="22"/>
        </w:rPr>
        <w:t>)</w:t>
      </w:r>
      <w:r w:rsidRPr="000B0CB2">
        <w:rPr>
          <w:rFonts w:ascii="Arial Narrow" w:hAnsi="Arial Narrow"/>
          <w:vanish/>
          <w:sz w:val="22"/>
        </w:rPr>
        <w:t xml:space="preserve">, tendo-se mantido inalterado o artigo 96.º, n.º 6, da Lei 144/99, que se refere à </w:t>
      </w:r>
      <w:r w:rsidRPr="000B0CB2">
        <w:rPr>
          <w:rFonts w:ascii="Arial Narrow" w:hAnsi="Arial Narrow"/>
          <w:sz w:val="22"/>
        </w:rPr>
        <w:t>.</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 xml:space="preserve">A transposição do n.º 6 do artigo 4.º da Decisão-Quadro do MDE pelo artigo 12.º, n.º 1, al. g), da Lei n.º 65/2003, que se limita a transcrever o texto daquele preceito, não teve a intenção nem contém a potencialidade de afastar a aplicação do regime do artigo 96.º, n.º 6, da Lei 144/99 às situações em que passou a ser utilizado o MDE em substituição do regime de extradição. </w:t>
      </w:r>
    </w:p>
    <w:p w:rsidR="0005127D" w:rsidRPr="008B5EE3" w:rsidRDefault="0005127D" w:rsidP="008B5EE3">
      <w:pPr>
        <w:spacing w:before="120"/>
        <w:ind w:left="1418"/>
        <w:jc w:val="both"/>
        <w:rPr>
          <w:rFonts w:ascii="Arial Narrow" w:hAnsi="Arial Narrow"/>
          <w:sz w:val="22"/>
        </w:rPr>
      </w:pPr>
      <w:r w:rsidRPr="008B5EE3">
        <w:rPr>
          <w:rFonts w:ascii="Arial Narrow" w:hAnsi="Arial Narrow"/>
          <w:sz w:val="22"/>
        </w:rPr>
        <w:t>Refira-se, a favor deste argumento, o facto de o legislador</w:t>
      </w:r>
      <w:r>
        <w:rPr>
          <w:rFonts w:ascii="Arial Narrow" w:hAnsi="Arial Narrow"/>
          <w:sz w:val="22"/>
        </w:rPr>
        <w:t xml:space="preserve"> </w:t>
      </w:r>
      <w:r w:rsidRPr="008B5EE3">
        <w:rPr>
          <w:rFonts w:ascii="Arial Narrow" w:hAnsi="Arial Narrow"/>
          <w:sz w:val="22"/>
        </w:rPr>
        <w:t>se referir ao sistema do MDE como meio de conceder a extradição (cf. artigo 2.º, n.º 2, proémio, da Lei n.º 65/2003: “será concedida a extradição com origem num mandado de detenção europeu”) – o que legitima a remissão directa para a letra do artigo 96.º, n.º 6, da Lei 144/99 – e endereçar a prestação de compromisso de execução da condenação estrangeira para os termos previstos na lei portuguesa (artigo 12.º, n.º 1, al. g), lei 65/2003)</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A execução em Portugal de sentença condenatória estrangeira na sequência da transferência de pessoa condenada para Portugal rege-se pelos artigos 114.º a 116.º, 122.º e 123.º da Lei n.º 144/99 e pelas Convenções relativas à transferência de pessoas condenadas (Convenção do Conselho da Europa de 1983 e Convenção da CPLP), havendo lugar a revisão e confirmação de sentença estrangeira para que a sentença tenha força executiva.</w:t>
      </w:r>
    </w:p>
    <w:p w:rsidR="0005127D" w:rsidRPr="007C7850" w:rsidRDefault="0005127D" w:rsidP="00BF723E">
      <w:pPr>
        <w:numPr>
          <w:ilvl w:val="1"/>
          <w:numId w:val="36"/>
        </w:numPr>
        <w:spacing w:before="240"/>
        <w:ind w:left="992" w:hanging="635"/>
        <w:jc w:val="both"/>
        <w:rPr>
          <w:rFonts w:ascii="Arial Narrow" w:hAnsi="Arial Narrow"/>
        </w:rPr>
      </w:pPr>
      <w:r>
        <w:rPr>
          <w:rFonts w:ascii="Arial Narrow" w:hAnsi="Arial Narrow"/>
        </w:rPr>
        <w:t>Na falta de instrumento internacional (artigo 3.º da Lei n.º 144/99), a</w:t>
      </w:r>
      <w:r w:rsidRPr="007C7850">
        <w:rPr>
          <w:rFonts w:ascii="Arial Narrow" w:hAnsi="Arial Narrow"/>
        </w:rPr>
        <w:t xml:space="preserve"> revisão e confirmação da sentença estrangeira processa-se </w:t>
      </w:r>
      <w:r>
        <w:rPr>
          <w:rFonts w:ascii="Arial Narrow" w:hAnsi="Arial Narrow"/>
        </w:rPr>
        <w:t xml:space="preserve">exclusivamente </w:t>
      </w:r>
      <w:r w:rsidRPr="007C7850">
        <w:rPr>
          <w:rFonts w:ascii="Arial Narrow" w:hAnsi="Arial Narrow"/>
        </w:rPr>
        <w:t>de acordo com o regime estabelecido nos artigos 234.º a 240.º do CPP (artigo 100.º da Lei 144/99), sendo necessária a verificação dos seguintes requisitos (artigo 237.º CPP):</w:t>
      </w:r>
    </w:p>
    <w:p w:rsidR="0005127D" w:rsidRDefault="0005127D" w:rsidP="00697309">
      <w:pPr>
        <w:numPr>
          <w:ilvl w:val="0"/>
          <w:numId w:val="27"/>
        </w:numPr>
        <w:spacing w:before="120"/>
        <w:jc w:val="both"/>
        <w:rPr>
          <w:rFonts w:ascii="Arial Narrow" w:hAnsi="Arial Narrow"/>
        </w:rPr>
      </w:pPr>
      <w:r>
        <w:rPr>
          <w:rFonts w:ascii="Arial Narrow" w:hAnsi="Arial Narrow"/>
        </w:rPr>
        <w:t>Que a sentença possa ter força executiva, por lei acordo ou convenção (Lei n.º 144/99 e Convenções citadas);</w:t>
      </w:r>
    </w:p>
    <w:p w:rsidR="0005127D" w:rsidRDefault="0005127D" w:rsidP="00697309">
      <w:pPr>
        <w:numPr>
          <w:ilvl w:val="0"/>
          <w:numId w:val="27"/>
        </w:numPr>
        <w:spacing w:before="120"/>
        <w:jc w:val="both"/>
        <w:rPr>
          <w:rFonts w:ascii="Arial Narrow" w:hAnsi="Arial Narrow"/>
        </w:rPr>
      </w:pPr>
      <w:r>
        <w:rPr>
          <w:rFonts w:ascii="Arial Narrow" w:hAnsi="Arial Narrow"/>
        </w:rPr>
        <w:t xml:space="preserve">Dupla incriminação; </w:t>
      </w:r>
    </w:p>
    <w:p w:rsidR="0005127D" w:rsidRDefault="0005127D" w:rsidP="00697309">
      <w:pPr>
        <w:numPr>
          <w:ilvl w:val="0"/>
          <w:numId w:val="27"/>
        </w:numPr>
        <w:spacing w:before="120"/>
        <w:jc w:val="both"/>
        <w:rPr>
          <w:rFonts w:ascii="Arial Narrow" w:hAnsi="Arial Narrow"/>
        </w:rPr>
      </w:pPr>
      <w:r>
        <w:rPr>
          <w:rFonts w:ascii="Arial Narrow" w:hAnsi="Arial Narrow"/>
        </w:rPr>
        <w:t>Pena não proibida pela lei portuguesa;</w:t>
      </w:r>
    </w:p>
    <w:p w:rsidR="0005127D" w:rsidRDefault="0005127D" w:rsidP="00697309">
      <w:pPr>
        <w:numPr>
          <w:ilvl w:val="0"/>
          <w:numId w:val="27"/>
        </w:numPr>
        <w:spacing w:before="120"/>
        <w:jc w:val="both"/>
        <w:rPr>
          <w:rFonts w:ascii="Arial Narrow" w:hAnsi="Arial Narrow"/>
        </w:rPr>
      </w:pPr>
      <w:r>
        <w:rPr>
          <w:rFonts w:ascii="Arial Narrow" w:hAnsi="Arial Narrow"/>
        </w:rPr>
        <w:t>Assistência do arguido por defensor e por intérprete (no caso de ignorar a língua do processo);</w:t>
      </w:r>
    </w:p>
    <w:p w:rsidR="0005127D" w:rsidRPr="007C7850" w:rsidRDefault="0005127D" w:rsidP="00697309">
      <w:pPr>
        <w:numPr>
          <w:ilvl w:val="0"/>
          <w:numId w:val="27"/>
        </w:numPr>
        <w:spacing w:before="120"/>
        <w:jc w:val="both"/>
        <w:rPr>
          <w:rFonts w:ascii="Arial Narrow" w:hAnsi="Arial Narrow"/>
        </w:rPr>
      </w:pPr>
      <w:r w:rsidRPr="007C7850">
        <w:rPr>
          <w:rFonts w:ascii="Arial Narrow" w:hAnsi="Arial Narrow"/>
        </w:rPr>
        <w:t>Que a sentença não respeite a crime contra a segurança do Estado, salvo tratado ou convenção em contr</w:t>
      </w:r>
      <w:r>
        <w:rPr>
          <w:rFonts w:ascii="Arial Narrow" w:hAnsi="Arial Narrow"/>
        </w:rPr>
        <w:t>á</w:t>
      </w:r>
      <w:r w:rsidRPr="007C7850">
        <w:rPr>
          <w:rFonts w:ascii="Arial Narrow" w:hAnsi="Arial Narrow"/>
        </w:rPr>
        <w:t>rio</w:t>
      </w:r>
      <w:r>
        <w:rPr>
          <w:rFonts w:ascii="Arial Narrow" w:hAnsi="Arial Narrow"/>
        </w:rPr>
        <w:t>.</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O pedido de revisão e confirmação deve alegar e evidenciar a presença destes requisitos, com base no expediente vindo da PGR (artigo 123.º, n.º 2, da Lei 144/99).</w:t>
      </w:r>
    </w:p>
    <w:p w:rsidR="0005127D" w:rsidRDefault="0005127D" w:rsidP="00BF723E">
      <w:pPr>
        <w:numPr>
          <w:ilvl w:val="1"/>
          <w:numId w:val="36"/>
        </w:numPr>
        <w:spacing w:before="240"/>
        <w:ind w:left="992" w:hanging="635"/>
        <w:jc w:val="both"/>
        <w:rPr>
          <w:rFonts w:ascii="Arial Narrow" w:hAnsi="Arial Narrow"/>
        </w:rPr>
      </w:pPr>
      <w:r w:rsidRPr="007C7850">
        <w:rPr>
          <w:rFonts w:ascii="Arial Narrow" w:hAnsi="Arial Narrow"/>
        </w:rPr>
        <w:t>Verificando-se casos de não indicação da assistência do condenado por defensor ou por intérprete – o que constitui requisito para a confirmação (artigo 237.º, n.º 1, al. d), do CPP) – deverá solicitar-se informação à PGR</w:t>
      </w:r>
      <w:r>
        <w:rPr>
          <w:rFonts w:ascii="Arial Narrow" w:hAnsi="Arial Narrow"/>
        </w:rPr>
        <w:t xml:space="preserve"> no sentido da obtenção dos elementos em falta.</w:t>
      </w:r>
    </w:p>
    <w:p w:rsidR="0005127D" w:rsidRPr="00697309" w:rsidRDefault="0005127D" w:rsidP="00697309">
      <w:pPr>
        <w:spacing w:before="120"/>
        <w:ind w:left="1418"/>
        <w:jc w:val="both"/>
        <w:rPr>
          <w:rFonts w:ascii="Arial Narrow" w:hAnsi="Arial Narrow"/>
          <w:sz w:val="22"/>
        </w:rPr>
      </w:pPr>
      <w:r w:rsidRPr="00697309">
        <w:rPr>
          <w:rFonts w:ascii="Arial Narrow" w:hAnsi="Arial Narrow"/>
          <w:sz w:val="22"/>
        </w:rPr>
        <w:t>De notar que, no âmbito da UE, foi adoptada a Decisão-Quadro 2008/909/JAI do Conselho, de 27.11.2008, relativa ao reconhecimento mútuo para efeito de execução de sentenças na União Europeia, que estabelece um mecanismo de reconhecimento mútuo das sentenças penais com base em certidão emitida pelo Estado da condenação, que altera radicalmente o regime vigente, fundado no pedido.</w:t>
      </w:r>
    </w:p>
    <w:p w:rsidR="0005127D" w:rsidRPr="00697309" w:rsidRDefault="0005127D" w:rsidP="00697309">
      <w:pPr>
        <w:spacing w:before="120"/>
        <w:ind w:left="1418"/>
        <w:jc w:val="both"/>
        <w:rPr>
          <w:rFonts w:ascii="Arial Narrow" w:hAnsi="Arial Narrow"/>
          <w:sz w:val="22"/>
        </w:rPr>
      </w:pPr>
      <w:r w:rsidRPr="00697309">
        <w:rPr>
          <w:rFonts w:ascii="Arial Narrow" w:hAnsi="Arial Narrow"/>
          <w:sz w:val="22"/>
        </w:rPr>
        <w:t xml:space="preserve">Esta Decisão-Quadro, ainda não transposta para o direito interno, elimina, designadamente, o requisito da assistência por defensor e intérprete, com base na ideia de confiança mútua nos sistemas penais dos Estados-Membros, os quais garantem, de forma equivalente, os direitos do arguido consagrados no artigo 6.º da Convenção Europeia dos Direitos do Homem (cfr. também o artigo 47.º da Carta dos Direitos Fundamentais da UE), entre os quais se incluem o direito a defensor e intérprete. </w:t>
      </w:r>
    </w:p>
    <w:p w:rsidR="0005127D" w:rsidRPr="00697309" w:rsidRDefault="0005127D" w:rsidP="00697309">
      <w:pPr>
        <w:spacing w:before="120"/>
        <w:ind w:left="1418"/>
        <w:jc w:val="both"/>
        <w:rPr>
          <w:rFonts w:ascii="Arial Narrow" w:hAnsi="Arial Narrow"/>
          <w:sz w:val="22"/>
        </w:rPr>
      </w:pPr>
      <w:r w:rsidRPr="00697309">
        <w:rPr>
          <w:rFonts w:ascii="Arial Narrow" w:hAnsi="Arial Narrow"/>
          <w:sz w:val="22"/>
        </w:rPr>
        <w:t>Para além disso, no sentido de reforçar, na prática, a garantia efectiva destes direitos, a UE vem adoptando um conjunto de instrumentos próprios, incluídos no “Roteiro para o Reforço dos Direitos Processuais dos Suspeitos ou Acusados em Processos Penais” (JO C 295, de 4.12.2009), entre os quais se destaca a Directiva 2010/64/EU do Parlamento e do Conselho, de 20.10.2010, relativa à interpretação e tradução em processo penal (que deve ser transposta até 27.10.2013).</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 xml:space="preserve">No quadro jurídico vigente, face ao que dispõe o artigo 237.º, n.º 1, al. d), do CPP, coloca-se a questão de saber se é possível dispensar a demonstração destes requisitos, nomeadamente, nos casos mais frequentes, a da assistência de defensor e de intérprete, nos casos de revisão de sentenças proferidas por tribunais dos Estados-Membros do Conselho da Europa e da União Europeia, dado o facto de Portugal não ter ainda ratificado a Convenção do Conselho da Europa sobre o Valor Internacional das Sentenças Penais, de 28.5.1970, que assinou em 10.5.1979. </w:t>
      </w:r>
    </w:p>
    <w:p w:rsidR="0005127D" w:rsidRDefault="0005127D" w:rsidP="00B35DDD">
      <w:pPr>
        <w:spacing w:before="240"/>
        <w:ind w:left="1418"/>
        <w:jc w:val="both"/>
        <w:rPr>
          <w:rFonts w:ascii="Arial Narrow" w:hAnsi="Arial Narrow"/>
          <w:sz w:val="22"/>
        </w:rPr>
      </w:pPr>
      <w:r w:rsidRPr="00E375DB">
        <w:rPr>
          <w:rFonts w:ascii="Arial Narrow" w:hAnsi="Arial Narrow"/>
          <w:sz w:val="22"/>
        </w:rPr>
        <w:t>A resposta a estas questões não é evidente, atento o disposto no artigo 100.º, n.º 1, da Lei n.º 144/99, que faz depender a força executiva de sentença estrangeira de prévia revisão e confirmação “segundo o disposto no Código de Processo Penal”, o que obriga à aplicação do artigo 237.º deste diploma e, por conseguinte, à verificação da assistência de defensor e intérprete.</w:t>
      </w:r>
    </w:p>
    <w:p w:rsidR="0005127D" w:rsidRDefault="0005127D" w:rsidP="00BF723E">
      <w:pPr>
        <w:numPr>
          <w:ilvl w:val="1"/>
          <w:numId w:val="36"/>
        </w:numPr>
        <w:spacing w:before="240"/>
        <w:ind w:left="992" w:hanging="635"/>
        <w:jc w:val="both"/>
        <w:rPr>
          <w:rFonts w:ascii="Arial Narrow" w:hAnsi="Arial Narrow"/>
        </w:rPr>
      </w:pPr>
      <w:r>
        <w:rPr>
          <w:rFonts w:ascii="Arial Narrow" w:hAnsi="Arial Narrow"/>
        </w:rPr>
        <w:t>Em caso de revisão e confirmação no âmbito de um processo de transferência ao abrigo da Convenção do Conselho da Europa sobre a Transferência de Pessoas Condenadas, de 21.3.1983, não há que aplicar o artigo 100.º, n.º 1, da Lei n.º 144/99, em toda a sua extensão, por força do artigo 3.º deste mesmo diploma, dado que Portugal se obrigou a rever e confirmar as sentenças condenatórias proferidas pelos tribunais dos Estados-Partes da Convenção nos termos do respectivo artigo 9.º, al. a), e da RAR n.º 8/93, de 20.4.1993, que aprovou a Convenção para ratificação, sendo, por conseguinte, este o regime aplicável quanto aos requisitos da revisão e confirmação.</w:t>
      </w:r>
    </w:p>
    <w:p w:rsidR="0005127D" w:rsidRDefault="0005127D">
      <w:pPr>
        <w:numPr>
          <w:ilvl w:val="1"/>
          <w:numId w:val="36"/>
        </w:numPr>
        <w:spacing w:before="240"/>
        <w:ind w:left="992" w:hanging="635"/>
        <w:jc w:val="both"/>
        <w:rPr>
          <w:rFonts w:ascii="Arial Narrow" w:hAnsi="Arial Narrow"/>
        </w:rPr>
      </w:pPr>
      <w:r w:rsidRPr="00D61829">
        <w:rPr>
          <w:rFonts w:ascii="Arial Narrow" w:hAnsi="Arial Narrow"/>
        </w:rPr>
        <w:t xml:space="preserve">Nos demais casos – isto </w:t>
      </w:r>
      <w:r>
        <w:rPr>
          <w:rFonts w:ascii="Arial Narrow" w:hAnsi="Arial Narrow"/>
        </w:rPr>
        <w:t>é</w:t>
      </w:r>
      <w:r w:rsidRPr="00D61829">
        <w:rPr>
          <w:rFonts w:ascii="Arial Narrow" w:hAnsi="Arial Narrow"/>
        </w:rPr>
        <w:t xml:space="preserve">, quando a revisão </w:t>
      </w:r>
      <w:r>
        <w:rPr>
          <w:rFonts w:ascii="Arial Narrow" w:hAnsi="Arial Narrow"/>
        </w:rPr>
        <w:t>e confirmação tiver lugar fora do âmbito de</w:t>
      </w:r>
      <w:r w:rsidRPr="00D61829">
        <w:rPr>
          <w:rFonts w:ascii="Arial Narrow" w:hAnsi="Arial Narrow"/>
        </w:rPr>
        <w:t xml:space="preserve"> um processo de transferência ao abrigo da Convenção do Conselho da Europa de 1983 – haver</w:t>
      </w:r>
      <w:r>
        <w:rPr>
          <w:rFonts w:ascii="Arial Narrow" w:hAnsi="Arial Narrow"/>
        </w:rPr>
        <w:t>á que observar</w:t>
      </w:r>
      <w:r w:rsidRPr="00D61829">
        <w:rPr>
          <w:rFonts w:ascii="Arial Narrow" w:hAnsi="Arial Narrow"/>
        </w:rPr>
        <w:t xml:space="preserve"> o disposto no artigo 237.º, n.º 1, do CPP.</w:t>
      </w:r>
    </w:p>
    <w:p w:rsidR="0005127D" w:rsidRDefault="0005127D">
      <w:pPr>
        <w:spacing w:before="240"/>
        <w:ind w:left="1418"/>
        <w:jc w:val="both"/>
        <w:rPr>
          <w:rFonts w:ascii="Arial Narrow" w:hAnsi="Arial Narrow"/>
          <w:sz w:val="22"/>
        </w:rPr>
      </w:pPr>
      <w:r w:rsidRPr="00E375DB">
        <w:rPr>
          <w:rFonts w:ascii="Arial Narrow" w:hAnsi="Arial Narrow"/>
          <w:sz w:val="22"/>
        </w:rPr>
        <w:t>A ratificação da Convenção do Conselho da Europa sobre o Valor Internacional das Sentenças Penais, de 1970, eliminaria esta incoerente diversidade de procedimentos.</w:t>
      </w:r>
    </w:p>
    <w:p w:rsidR="0005127D" w:rsidRPr="00C10ABF" w:rsidRDefault="0005127D" w:rsidP="00BF723E">
      <w:pPr>
        <w:numPr>
          <w:ilvl w:val="1"/>
          <w:numId w:val="36"/>
        </w:numPr>
        <w:spacing w:before="240"/>
        <w:ind w:left="992" w:hanging="635"/>
        <w:jc w:val="both"/>
        <w:rPr>
          <w:rFonts w:ascii="Arial Narrow" w:hAnsi="Arial Narrow"/>
        </w:rPr>
      </w:pPr>
      <w:r>
        <w:rPr>
          <w:rFonts w:ascii="Arial Narrow" w:hAnsi="Arial Narrow"/>
        </w:rPr>
        <w:t>No caso de revisão e confirmação de sentença no âmbito de um processo de transferência ao abrigo da Convenção sobre a Transferência de Pessoas Condenadas entre os Estados Membros da Comunidade dos Países de Língua Portuguesa, ratificada pela RAR 48/2008, de 15.9.2008, observa-se o disposto no artigo 9.º, n.º 2, da Convenção, restringindo-se igualmente o âmbito de aplicação do artigo 100.º, n.º 1, do CPP no que se refere aos respectivos requisitos.</w:t>
      </w:r>
      <w:r>
        <w:rPr>
          <w:rFonts w:ascii="Trebuchet MS" w:hAnsi="Trebuchet MS" w:cs="Trebuchet MS"/>
          <w:color w:val="C01212"/>
          <w:sz w:val="22"/>
          <w:szCs w:val="22"/>
          <w:lang w:val="en-US" w:eastAsia="en-US"/>
        </w:rPr>
        <w:t xml:space="preserve"> </w:t>
      </w:r>
    </w:p>
    <w:p w:rsidR="0005127D" w:rsidRPr="007C7850" w:rsidRDefault="0005127D" w:rsidP="00875A97">
      <w:pPr>
        <w:spacing w:before="240"/>
        <w:jc w:val="both"/>
        <w:rPr>
          <w:rFonts w:ascii="Arial Narrow" w:hAnsi="Arial Narrow"/>
        </w:rPr>
      </w:pPr>
    </w:p>
    <w:p w:rsidR="0005127D" w:rsidRDefault="0005127D" w:rsidP="00913D5B">
      <w:pPr>
        <w:tabs>
          <w:tab w:val="num" w:pos="2340"/>
        </w:tabs>
        <w:spacing w:before="120"/>
        <w:ind w:left="792" w:hanging="432"/>
        <w:jc w:val="both"/>
        <w:rPr>
          <w:rFonts w:ascii="Arial Narrow" w:hAnsi="Arial Narrow"/>
        </w:rPr>
      </w:pPr>
    </w:p>
    <w:p w:rsidR="0005127D" w:rsidRDefault="0005127D" w:rsidP="00913D5B">
      <w:pPr>
        <w:tabs>
          <w:tab w:val="num" w:pos="2340"/>
        </w:tabs>
        <w:spacing w:before="120"/>
        <w:ind w:left="792" w:hanging="432"/>
        <w:jc w:val="both"/>
        <w:rPr>
          <w:rFonts w:ascii="Arial Narrow" w:hAnsi="Arial Narrow"/>
        </w:rPr>
      </w:pPr>
    </w:p>
    <w:p w:rsidR="0005127D" w:rsidRDefault="0005127D" w:rsidP="00913D5B">
      <w:pPr>
        <w:spacing w:before="120"/>
        <w:ind w:left="792" w:hanging="432"/>
        <w:jc w:val="both"/>
        <w:rPr>
          <w:rFonts w:ascii="Arial Narrow" w:hAnsi="Arial Narrow"/>
        </w:rPr>
      </w:pPr>
    </w:p>
    <w:p w:rsidR="0005127D" w:rsidRDefault="0005127D" w:rsidP="00913D5B">
      <w:pPr>
        <w:spacing w:before="120"/>
        <w:ind w:left="792" w:hanging="432"/>
        <w:jc w:val="both"/>
        <w:rPr>
          <w:rFonts w:ascii="Arial Narrow" w:hAnsi="Arial Narrow"/>
        </w:rPr>
      </w:pPr>
    </w:p>
    <w:p w:rsidR="0005127D" w:rsidRDefault="0005127D" w:rsidP="00913D5B">
      <w:pPr>
        <w:spacing w:before="120"/>
        <w:ind w:left="792" w:hanging="432"/>
        <w:jc w:val="both"/>
        <w:rPr>
          <w:rFonts w:ascii="Arial Narrow" w:hAnsi="Arial Narrow"/>
        </w:rPr>
      </w:pPr>
    </w:p>
    <w:p w:rsidR="0005127D" w:rsidRPr="00144253" w:rsidRDefault="0005127D" w:rsidP="00144253">
      <w:pPr>
        <w:spacing w:before="120"/>
        <w:ind w:left="792" w:firstLine="5020"/>
        <w:jc w:val="center"/>
        <w:rPr>
          <w:rFonts w:ascii="Arial Narrow" w:hAnsi="Arial Narrow"/>
          <w:smallCaps/>
        </w:rPr>
      </w:pPr>
      <w:r w:rsidRPr="00144253">
        <w:rPr>
          <w:rFonts w:ascii="Arial Narrow" w:hAnsi="Arial Narrow"/>
          <w:smallCaps/>
        </w:rPr>
        <w:t>JL Lopes da Mota</w:t>
      </w:r>
    </w:p>
    <w:p w:rsidR="0005127D" w:rsidRPr="00144253" w:rsidRDefault="0005127D" w:rsidP="00913D5B">
      <w:pPr>
        <w:spacing w:before="120"/>
        <w:ind w:left="792" w:hanging="432"/>
        <w:jc w:val="right"/>
        <w:rPr>
          <w:rFonts w:ascii="Arial Narrow" w:hAnsi="Arial Narrow"/>
          <w:i/>
        </w:rPr>
      </w:pPr>
      <w:r w:rsidRPr="00144253">
        <w:rPr>
          <w:rFonts w:ascii="Arial Narrow" w:hAnsi="Arial Narrow"/>
          <w:i/>
        </w:rPr>
        <w:t>(Encarregado da coordenação)</w:t>
      </w:r>
    </w:p>
    <w:sectPr w:rsidR="0005127D" w:rsidRPr="00144253" w:rsidSect="00C05373">
      <w:headerReference w:type="even" r:id="rId7"/>
      <w:headerReference w:type="default" r:id="rId8"/>
      <w:footerReference w:type="default" r:id="rId9"/>
      <w:pgSz w:w="11906" w:h="16838" w:code="9"/>
      <w:pgMar w:top="2835" w:right="1701" w:bottom="147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C3D" w:rsidRDefault="003D6C3D">
      <w:r>
        <w:separator/>
      </w:r>
    </w:p>
  </w:endnote>
  <w:endnote w:type="continuationSeparator" w:id="0">
    <w:p w:rsidR="003D6C3D" w:rsidRDefault="003D6C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hevara">
    <w:altName w:val="Courier New"/>
    <w:panose1 w:val="00000000000000000000"/>
    <w:charset w:val="00"/>
    <w:family w:val="auto"/>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7D" w:rsidRPr="00BD1CD7" w:rsidRDefault="0005127D" w:rsidP="00913D5B">
    <w:pPr>
      <w:pStyle w:val="Rodap"/>
      <w:pBdr>
        <w:top w:val="single" w:sz="4" w:space="1" w:color="auto"/>
      </w:pBdr>
      <w:spacing w:line="200" w:lineRule="exact"/>
      <w:jc w:val="center"/>
      <w:rPr>
        <w:rFonts w:ascii="Palatino Linotype" w:hAnsi="Palatino Linotype"/>
        <w:i/>
        <w:sz w:val="16"/>
        <w:szCs w:val="16"/>
      </w:rPr>
    </w:pPr>
    <w:r w:rsidRPr="00BD1CD7">
      <w:rPr>
        <w:rFonts w:ascii="Palatino Linotype" w:hAnsi="Palatino Linotype"/>
        <w:i/>
        <w:sz w:val="16"/>
        <w:szCs w:val="16"/>
      </w:rPr>
      <w:t xml:space="preserve">Rua do Arsenal, letra G   1100-038 LISBOA </w:t>
    </w:r>
  </w:p>
  <w:p w:rsidR="0005127D" w:rsidRDefault="0005127D" w:rsidP="00913D5B">
    <w:pPr>
      <w:pStyle w:val="Rodap"/>
      <w:pBdr>
        <w:top w:val="single" w:sz="4" w:space="1" w:color="auto"/>
      </w:pBdr>
      <w:spacing w:line="200" w:lineRule="exact"/>
      <w:jc w:val="center"/>
      <w:rPr>
        <w:rFonts w:ascii="Palatino Linotype" w:hAnsi="Palatino Linotype"/>
        <w:i/>
        <w:sz w:val="14"/>
        <w:szCs w:val="14"/>
      </w:rPr>
    </w:pPr>
    <w:r w:rsidRPr="00BD1CD7">
      <w:rPr>
        <w:rFonts w:ascii="Palatino Linotype" w:hAnsi="Palatino Linotype"/>
        <w:i/>
        <w:sz w:val="14"/>
        <w:szCs w:val="14"/>
      </w:rPr>
      <w:t>Tel.: 213 222 9</w:t>
    </w:r>
    <w:r>
      <w:rPr>
        <w:rFonts w:ascii="Palatino Linotype" w:hAnsi="Palatino Linotype"/>
        <w:i/>
        <w:sz w:val="14"/>
        <w:szCs w:val="14"/>
      </w:rPr>
      <w:t>00</w:t>
    </w:r>
    <w:r w:rsidRPr="00BD1CD7">
      <w:rPr>
        <w:rFonts w:ascii="Palatino Linotype" w:hAnsi="Palatino Linotype"/>
        <w:i/>
        <w:sz w:val="14"/>
        <w:szCs w:val="14"/>
      </w:rPr>
      <w:t xml:space="preserve">  -  Fax:  213 474 932 -</w:t>
    </w:r>
    <w:r>
      <w:rPr>
        <w:rFonts w:ascii="Palatino Linotype" w:hAnsi="Palatino Linotype"/>
        <w:i/>
        <w:sz w:val="14"/>
        <w:szCs w:val="14"/>
      </w:rPr>
      <w:t xml:space="preserve"> </w:t>
    </w:r>
    <w:r w:rsidRPr="00BD1CD7">
      <w:rPr>
        <w:rFonts w:ascii="Palatino Linotype" w:hAnsi="Palatino Linotype"/>
        <w:i/>
        <w:sz w:val="14"/>
        <w:szCs w:val="14"/>
      </w:rPr>
      <w:t xml:space="preserve"> </w:t>
    </w:r>
    <w:r>
      <w:rPr>
        <w:rFonts w:ascii="Palatino Linotype" w:hAnsi="Palatino Linotype"/>
        <w:i/>
        <w:sz w:val="14"/>
        <w:szCs w:val="14"/>
      </w:rPr>
      <w:t xml:space="preserve">e-mail: </w:t>
    </w:r>
    <w:hyperlink r:id="rId1" w:history="1">
      <w:r w:rsidRPr="00CF79ED">
        <w:rPr>
          <w:rStyle w:val="Hiperligao"/>
          <w:rFonts w:ascii="Palatino Linotype" w:hAnsi="Palatino Linotype"/>
          <w:i/>
          <w:sz w:val="14"/>
          <w:szCs w:val="14"/>
        </w:rPr>
        <w:t>mp.lisboa.tr@tribunais.org.pt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C3D" w:rsidRDefault="003D6C3D">
      <w:r>
        <w:separator/>
      </w:r>
    </w:p>
  </w:footnote>
  <w:footnote w:type="continuationSeparator" w:id="0">
    <w:p w:rsidR="003D6C3D" w:rsidRDefault="003D6C3D">
      <w:r>
        <w:continuationSeparator/>
      </w:r>
    </w:p>
  </w:footnote>
  <w:footnote w:id="1">
    <w:p w:rsidR="0005127D" w:rsidRDefault="0005127D" w:rsidP="00913D5B">
      <w:pPr>
        <w:pStyle w:val="Textodenotaderodap"/>
        <w:jc w:val="both"/>
      </w:pPr>
      <w:r w:rsidRPr="00E96D66">
        <w:rPr>
          <w:rStyle w:val="Refdenotaderodap"/>
        </w:rPr>
        <w:sym w:font="Symbol" w:char="F02A"/>
      </w:r>
      <w:r w:rsidRPr="007A4957">
        <w:rPr>
          <w:rFonts w:ascii="Arial Narrow" w:hAnsi="Arial Narrow"/>
          <w:sz w:val="20"/>
        </w:rPr>
        <w:t xml:space="preserve"> </w:t>
      </w:r>
      <w:r>
        <w:rPr>
          <w:rFonts w:ascii="Arial Narrow" w:hAnsi="Arial Narrow"/>
          <w:sz w:val="20"/>
        </w:rPr>
        <w:t>Orientações e notas práticas a</w:t>
      </w:r>
      <w:r w:rsidRPr="007A4957">
        <w:rPr>
          <w:rFonts w:ascii="Arial Narrow" w:hAnsi="Arial Narrow"/>
          <w:sz w:val="20"/>
        </w:rPr>
        <w:t xml:space="preserve">doptadas por acordo dos Procuradores-Gerais Adjuntos na Relação de Lisboa em funções na área da cooperação judiciária internacional em matéria penal, no seguimento da reunião de trabalho de 29 de Janeiro de 2013. </w:t>
      </w:r>
      <w:r>
        <w:rPr>
          <w:rFonts w:ascii="Arial Narrow" w:hAnsi="Arial Narrow"/>
          <w:sz w:val="20"/>
        </w:rPr>
        <w:t>C</w:t>
      </w:r>
      <w:r w:rsidRPr="007A4957">
        <w:rPr>
          <w:rFonts w:ascii="Arial Narrow" w:hAnsi="Arial Narrow"/>
          <w:sz w:val="20"/>
        </w:rPr>
        <w:t>onstituem um documento vivo</w:t>
      </w:r>
      <w:r>
        <w:rPr>
          <w:rFonts w:ascii="Arial Narrow" w:hAnsi="Arial Narrow"/>
          <w:sz w:val="20"/>
        </w:rPr>
        <w:t xml:space="preserve"> que procurará reflectir </w:t>
      </w:r>
      <w:r w:rsidRPr="007A4957">
        <w:rPr>
          <w:rFonts w:ascii="Arial Narrow" w:hAnsi="Arial Narrow"/>
          <w:sz w:val="20"/>
        </w:rPr>
        <w:t>a evolução da</w:t>
      </w:r>
      <w:r>
        <w:rPr>
          <w:rFonts w:ascii="Arial Narrow" w:hAnsi="Arial Narrow"/>
          <w:sz w:val="20"/>
        </w:rPr>
        <w:t xml:space="preserve"> legislação, da</w:t>
      </w:r>
      <w:r w:rsidRPr="007A4957">
        <w:rPr>
          <w:rFonts w:ascii="Arial Narrow" w:hAnsi="Arial Narrow"/>
          <w:sz w:val="20"/>
        </w:rPr>
        <w:t xml:space="preserve"> jurisprudência e da prática judiciária.</w:t>
      </w:r>
    </w:p>
  </w:footnote>
  <w:footnote w:id="2">
    <w:p w:rsidR="0005127D" w:rsidRDefault="0005127D" w:rsidP="004F17A5">
      <w:pPr>
        <w:pStyle w:val="Textodenotaderodap"/>
        <w:jc w:val="both"/>
      </w:pPr>
      <w:r w:rsidRPr="004F17A5">
        <w:rPr>
          <w:rStyle w:val="Refdenotaderodap"/>
          <w:sz w:val="22"/>
        </w:rPr>
        <w:footnoteRef/>
      </w:r>
      <w:r w:rsidRPr="004F17A5">
        <w:rPr>
          <w:sz w:val="22"/>
        </w:rPr>
        <w:t xml:space="preserve"> </w:t>
      </w:r>
      <w:r w:rsidRPr="004F17A5">
        <w:rPr>
          <w:rFonts w:ascii="Arial Narrow" w:hAnsi="Arial Narrow"/>
          <w:sz w:val="22"/>
        </w:rPr>
        <w:t xml:space="preserve">Os acórdãos do Tribunal de Justiça da União Europeia estão disponíveis, em língua portuguesa, no </w:t>
      </w:r>
      <w:r w:rsidRPr="004F17A5">
        <w:rPr>
          <w:rFonts w:ascii="Arial Narrow" w:hAnsi="Arial Narrow"/>
          <w:i/>
          <w:sz w:val="22"/>
        </w:rPr>
        <w:t>site</w:t>
      </w:r>
      <w:r w:rsidRPr="004F17A5">
        <w:rPr>
          <w:rFonts w:ascii="Arial Narrow" w:hAnsi="Arial Narrow"/>
          <w:sz w:val="22"/>
        </w:rPr>
        <w:t xml:space="preserve"> do Tribunal em </w:t>
      </w:r>
      <w:r w:rsidRPr="004F17A5">
        <w:rPr>
          <w:rFonts w:ascii="Arial Narrow" w:hAnsi="Arial Narrow"/>
          <w:i/>
          <w:sz w:val="22"/>
        </w:rPr>
        <w:t>www.curia.europa.eu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7D" w:rsidRDefault="0005127D" w:rsidP="00913D5B">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5127D" w:rsidRDefault="0005127D" w:rsidP="00913D5B">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27D" w:rsidRPr="00E41497" w:rsidRDefault="0005127D" w:rsidP="00913D5B">
    <w:pPr>
      <w:pStyle w:val="Cabealho"/>
      <w:framePr w:wrap="around" w:vAnchor="text" w:hAnchor="margin" w:xAlign="right" w:y="1"/>
      <w:rPr>
        <w:rStyle w:val="Nmerodepgina"/>
      </w:rPr>
    </w:pPr>
    <w:r w:rsidRPr="00E41497">
      <w:rPr>
        <w:rStyle w:val="Nmerodepgina"/>
        <w:rFonts w:ascii="Arial Narrow" w:hAnsi="Arial Narrow"/>
        <w:sz w:val="22"/>
      </w:rPr>
      <w:fldChar w:fldCharType="begin"/>
    </w:r>
    <w:r w:rsidRPr="00E41497">
      <w:rPr>
        <w:rStyle w:val="Nmerodepgina"/>
        <w:rFonts w:ascii="Arial Narrow" w:hAnsi="Arial Narrow"/>
        <w:sz w:val="22"/>
      </w:rPr>
      <w:instrText xml:space="preserve">PAGE  </w:instrText>
    </w:r>
    <w:r w:rsidRPr="00E41497">
      <w:rPr>
        <w:rStyle w:val="Nmerodepgina"/>
        <w:rFonts w:ascii="Arial Narrow" w:hAnsi="Arial Narrow"/>
        <w:sz w:val="22"/>
      </w:rPr>
      <w:fldChar w:fldCharType="separate"/>
    </w:r>
    <w:r w:rsidR="003D6C3D">
      <w:rPr>
        <w:rStyle w:val="Nmerodepgina"/>
        <w:rFonts w:ascii="Arial Narrow" w:hAnsi="Arial Narrow"/>
        <w:noProof/>
        <w:sz w:val="22"/>
      </w:rPr>
      <w:t>1</w:t>
    </w:r>
    <w:r w:rsidRPr="00E41497">
      <w:rPr>
        <w:rStyle w:val="Nmerodepgina"/>
        <w:rFonts w:ascii="Arial Narrow" w:hAnsi="Arial Narrow"/>
        <w:sz w:val="22"/>
      </w:rPr>
      <w:fldChar w:fldCharType="end"/>
    </w:r>
    <w:r w:rsidRPr="00E41497">
      <w:rPr>
        <w:rStyle w:val="Nmerodepgina"/>
        <w:rFonts w:ascii="Arial Narrow" w:hAnsi="Arial Narrow"/>
        <w:sz w:val="22"/>
      </w:rPr>
      <w:t>/</w:t>
    </w:r>
    <w:r>
      <w:rPr>
        <w:rStyle w:val="Nmerodepgina"/>
        <w:rFonts w:ascii="Arial Narrow" w:hAnsi="Arial Narrow"/>
        <w:sz w:val="22"/>
      </w:rPr>
      <w:t>29</w:t>
    </w:r>
  </w:p>
  <w:p w:rsidR="0005127D" w:rsidRDefault="0089217F" w:rsidP="00913D5B">
    <w:pPr>
      <w:pStyle w:val="Cabealho"/>
      <w:ind w:right="360"/>
      <w:jc w:val="center"/>
      <w:rPr>
        <w:rFonts w:ascii="Chevara" w:hAnsi="Chevara"/>
        <w:sz w:val="28"/>
      </w:rPr>
    </w:pPr>
    <w:r>
      <w:rPr>
        <w:noProof/>
      </w:rPr>
      <w:drawing>
        <wp:anchor distT="0" distB="0" distL="114300" distR="114300" simplePos="0" relativeHeight="251657728" behindDoc="0" locked="0" layoutInCell="1" allowOverlap="1">
          <wp:simplePos x="0" y="0"/>
          <wp:positionH relativeFrom="column">
            <wp:posOffset>2628900</wp:posOffset>
          </wp:positionH>
          <wp:positionV relativeFrom="paragraph">
            <wp:posOffset>3175</wp:posOffset>
          </wp:positionV>
          <wp:extent cx="374650" cy="313055"/>
          <wp:effectExtent l="19050" t="0" r="6350" b="0"/>
          <wp:wrapTopAndBottom/>
          <wp:docPr id="1" name="Picture 1" descr="coroa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oa_big"/>
                  <pic:cNvPicPr>
                    <a:picLocks noChangeAspect="1" noChangeArrowheads="1"/>
                  </pic:cNvPicPr>
                </pic:nvPicPr>
                <pic:blipFill>
                  <a:blip r:embed="rId1"/>
                  <a:srcRect/>
                  <a:stretch>
                    <a:fillRect/>
                  </a:stretch>
                </pic:blipFill>
                <pic:spPr bwMode="auto">
                  <a:xfrm>
                    <a:off x="0" y="0"/>
                    <a:ext cx="374650" cy="313055"/>
                  </a:xfrm>
                  <a:prstGeom prst="rect">
                    <a:avLst/>
                  </a:prstGeom>
                  <a:noFill/>
                </pic:spPr>
              </pic:pic>
            </a:graphicData>
          </a:graphic>
        </wp:anchor>
      </w:drawing>
    </w:r>
  </w:p>
  <w:p w:rsidR="0005127D" w:rsidRPr="008C4BC7" w:rsidRDefault="0005127D" w:rsidP="00913D5B">
    <w:pPr>
      <w:pStyle w:val="Cabealho"/>
      <w:jc w:val="center"/>
      <w:rPr>
        <w:rFonts w:ascii="Chevara" w:hAnsi="Chevara"/>
        <w:sz w:val="14"/>
        <w:szCs w:val="14"/>
      </w:rPr>
    </w:pPr>
  </w:p>
  <w:p w:rsidR="0005127D" w:rsidRPr="00BD1CD7" w:rsidRDefault="0005127D" w:rsidP="00913D5B">
    <w:pPr>
      <w:pStyle w:val="Cabealho"/>
      <w:jc w:val="center"/>
      <w:rPr>
        <w:rFonts w:ascii="Palatino Linotype" w:eastAsia="Batang" w:hAnsi="Palatino Linotype"/>
        <w:b/>
        <w:i/>
        <w:sz w:val="32"/>
        <w:szCs w:val="32"/>
      </w:rPr>
    </w:pPr>
    <w:r w:rsidRPr="00BD1CD7">
      <w:rPr>
        <w:rFonts w:ascii="Palatino Linotype" w:eastAsia="Batang" w:hAnsi="Palatino Linotype"/>
        <w:b/>
        <w:i/>
        <w:sz w:val="32"/>
        <w:szCs w:val="32"/>
      </w:rPr>
      <w:t>PROCURADORIA-GERAL DISTRITAL</w:t>
    </w:r>
  </w:p>
  <w:p w:rsidR="0005127D" w:rsidRDefault="0005127D" w:rsidP="00913D5B">
    <w:pPr>
      <w:pStyle w:val="Cabealho"/>
      <w:jc w:val="center"/>
      <w:rPr>
        <w:rFonts w:ascii="Palatino Linotype" w:eastAsia="Batang" w:hAnsi="Palatino Linotype"/>
        <w:i/>
        <w:sz w:val="28"/>
        <w:szCs w:val="28"/>
      </w:rPr>
    </w:pPr>
    <w:r w:rsidRPr="00BD1CD7">
      <w:rPr>
        <w:rFonts w:ascii="Palatino Linotype" w:eastAsia="Batang" w:hAnsi="Palatino Linotype"/>
        <w:i/>
        <w:sz w:val="28"/>
        <w:szCs w:val="28"/>
      </w:rPr>
      <w:t>Tribunal da Relação de Lisboa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012C6DA"/>
    <w:lvl w:ilvl="0">
      <w:start w:val="1"/>
      <w:numFmt w:val="bullet"/>
      <w:lvlText w:val=""/>
      <w:lvlJc w:val="left"/>
      <w:pPr>
        <w:tabs>
          <w:tab w:val="num" w:pos="643"/>
        </w:tabs>
        <w:ind w:left="643" w:hanging="360"/>
      </w:pPr>
      <w:rPr>
        <w:rFonts w:ascii="Symbol" w:hAnsi="Symbol" w:hint="default"/>
      </w:rPr>
    </w:lvl>
  </w:abstractNum>
  <w:abstractNum w:abstractNumId="1">
    <w:nsid w:val="0009098E"/>
    <w:multiLevelType w:val="hybridMultilevel"/>
    <w:tmpl w:val="86B2C8CE"/>
    <w:lvl w:ilvl="0" w:tplc="065A231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A9F37CD"/>
    <w:multiLevelType w:val="hybridMultilevel"/>
    <w:tmpl w:val="CFE40B96"/>
    <w:lvl w:ilvl="0" w:tplc="F79EF78A">
      <w:start w:val="1"/>
      <w:numFmt w:val="lowerLetter"/>
      <w:lvlText w:val="%1)"/>
      <w:lvlJc w:val="left"/>
      <w:pPr>
        <w:ind w:left="1512" w:hanging="360"/>
      </w:pPr>
      <w:rPr>
        <w:rFonts w:cs="Times New Roman" w:hint="default"/>
      </w:rPr>
    </w:lvl>
    <w:lvl w:ilvl="1" w:tplc="04090019">
      <w:start w:val="1"/>
      <w:numFmt w:val="lowerLetter"/>
      <w:lvlText w:val="%2."/>
      <w:lvlJc w:val="left"/>
      <w:pPr>
        <w:ind w:left="2592" w:hanging="360"/>
      </w:pPr>
      <w:rPr>
        <w:rFonts w:cs="Times New Roman"/>
      </w:rPr>
    </w:lvl>
    <w:lvl w:ilvl="2" w:tplc="0409001B">
      <w:start w:val="1"/>
      <w:numFmt w:val="lowerRoman"/>
      <w:lvlText w:val="%3."/>
      <w:lvlJc w:val="right"/>
      <w:pPr>
        <w:ind w:left="3312" w:hanging="180"/>
      </w:pPr>
      <w:rPr>
        <w:rFonts w:cs="Times New Roman"/>
      </w:rPr>
    </w:lvl>
    <w:lvl w:ilvl="3" w:tplc="0409000F">
      <w:start w:val="1"/>
      <w:numFmt w:val="decimal"/>
      <w:lvlText w:val="%4."/>
      <w:lvlJc w:val="left"/>
      <w:pPr>
        <w:ind w:left="4032" w:hanging="360"/>
      </w:pPr>
      <w:rPr>
        <w:rFonts w:cs="Times New Roman"/>
      </w:rPr>
    </w:lvl>
    <w:lvl w:ilvl="4" w:tplc="04090019">
      <w:start w:val="1"/>
      <w:numFmt w:val="lowerLetter"/>
      <w:lvlText w:val="%5."/>
      <w:lvlJc w:val="left"/>
      <w:pPr>
        <w:ind w:left="4752" w:hanging="360"/>
      </w:pPr>
      <w:rPr>
        <w:rFonts w:cs="Times New Roman"/>
      </w:rPr>
    </w:lvl>
    <w:lvl w:ilvl="5" w:tplc="0409001B">
      <w:start w:val="1"/>
      <w:numFmt w:val="lowerRoman"/>
      <w:lvlText w:val="%6."/>
      <w:lvlJc w:val="right"/>
      <w:pPr>
        <w:ind w:left="5472" w:hanging="180"/>
      </w:pPr>
      <w:rPr>
        <w:rFonts w:cs="Times New Roman"/>
      </w:rPr>
    </w:lvl>
    <w:lvl w:ilvl="6" w:tplc="0409000F" w:tentative="1">
      <w:start w:val="1"/>
      <w:numFmt w:val="decimal"/>
      <w:lvlText w:val="%7."/>
      <w:lvlJc w:val="left"/>
      <w:pPr>
        <w:ind w:left="6192" w:hanging="360"/>
      </w:pPr>
      <w:rPr>
        <w:rFonts w:cs="Times New Roman"/>
      </w:rPr>
    </w:lvl>
    <w:lvl w:ilvl="7" w:tplc="04090019" w:tentative="1">
      <w:start w:val="1"/>
      <w:numFmt w:val="lowerLetter"/>
      <w:lvlText w:val="%8."/>
      <w:lvlJc w:val="left"/>
      <w:pPr>
        <w:ind w:left="6912" w:hanging="360"/>
      </w:pPr>
      <w:rPr>
        <w:rFonts w:cs="Times New Roman"/>
      </w:rPr>
    </w:lvl>
    <w:lvl w:ilvl="8" w:tplc="0409001B" w:tentative="1">
      <w:start w:val="1"/>
      <w:numFmt w:val="lowerRoman"/>
      <w:lvlText w:val="%9."/>
      <w:lvlJc w:val="right"/>
      <w:pPr>
        <w:ind w:left="7632" w:hanging="180"/>
      </w:pPr>
      <w:rPr>
        <w:rFonts w:cs="Times New Roman"/>
      </w:rPr>
    </w:lvl>
  </w:abstractNum>
  <w:abstractNum w:abstractNumId="3">
    <w:nsid w:val="0BD92BA3"/>
    <w:multiLevelType w:val="hybridMultilevel"/>
    <w:tmpl w:val="9FAC0F34"/>
    <w:lvl w:ilvl="0" w:tplc="30F47B0A">
      <w:start w:val="1"/>
      <w:numFmt w:val="lowerLetter"/>
      <w:lvlText w:val="%1)"/>
      <w:lvlJc w:val="left"/>
      <w:pPr>
        <w:ind w:left="1353" w:hanging="360"/>
      </w:pPr>
      <w:rPr>
        <w:rFonts w:cs="Times New Roman" w:hint="default"/>
      </w:rPr>
    </w:lvl>
    <w:lvl w:ilvl="1" w:tplc="3E0CD080">
      <w:start w:val="1"/>
      <w:numFmt w:val="lowerLetter"/>
      <w:lvlText w:val="%2)"/>
      <w:lvlJc w:val="left"/>
      <w:pPr>
        <w:ind w:left="2433" w:hanging="360"/>
      </w:pPr>
      <w:rPr>
        <w:rFonts w:cs="Times New Roman" w:hint="default"/>
      </w:rPr>
    </w:lvl>
    <w:lvl w:ilvl="2" w:tplc="0409001B">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4">
    <w:nsid w:val="0EAE6092"/>
    <w:multiLevelType w:val="hybridMultilevel"/>
    <w:tmpl w:val="205A8150"/>
    <w:lvl w:ilvl="0" w:tplc="E182C04A">
      <w:start w:val="1"/>
      <w:numFmt w:val="lowerLetter"/>
      <w:lvlText w:val="%1)"/>
      <w:lvlJc w:val="left"/>
      <w:pPr>
        <w:ind w:left="14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09B46A6"/>
    <w:multiLevelType w:val="hybridMultilevel"/>
    <w:tmpl w:val="485200E2"/>
    <w:lvl w:ilvl="0" w:tplc="3E0CD080">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6">
    <w:nsid w:val="13D62DC0"/>
    <w:multiLevelType w:val="hybridMultilevel"/>
    <w:tmpl w:val="C73AAE46"/>
    <w:lvl w:ilvl="0" w:tplc="97123686">
      <w:start w:val="1"/>
      <w:numFmt w:val="lowerLetter"/>
      <w:lvlText w:val="%1)"/>
      <w:lvlJc w:val="left"/>
      <w:pPr>
        <w:ind w:left="1713" w:hanging="360"/>
      </w:pPr>
      <w:rPr>
        <w:rFonts w:cs="Times New Roman" w:hint="default"/>
      </w:rPr>
    </w:lvl>
    <w:lvl w:ilvl="1" w:tplc="04090019" w:tentative="1">
      <w:start w:val="1"/>
      <w:numFmt w:val="lowerLetter"/>
      <w:lvlText w:val="%2."/>
      <w:lvlJc w:val="left"/>
      <w:pPr>
        <w:ind w:left="2793" w:hanging="360"/>
      </w:pPr>
      <w:rPr>
        <w:rFonts w:cs="Times New Roman"/>
      </w:rPr>
    </w:lvl>
    <w:lvl w:ilvl="2" w:tplc="0409001B" w:tentative="1">
      <w:start w:val="1"/>
      <w:numFmt w:val="lowerRoman"/>
      <w:lvlText w:val="%3."/>
      <w:lvlJc w:val="right"/>
      <w:pPr>
        <w:ind w:left="3513" w:hanging="180"/>
      </w:pPr>
      <w:rPr>
        <w:rFonts w:cs="Times New Roman"/>
      </w:rPr>
    </w:lvl>
    <w:lvl w:ilvl="3" w:tplc="0409000F" w:tentative="1">
      <w:start w:val="1"/>
      <w:numFmt w:val="decimal"/>
      <w:lvlText w:val="%4."/>
      <w:lvlJc w:val="left"/>
      <w:pPr>
        <w:ind w:left="4233" w:hanging="360"/>
      </w:pPr>
      <w:rPr>
        <w:rFonts w:cs="Times New Roman"/>
      </w:rPr>
    </w:lvl>
    <w:lvl w:ilvl="4" w:tplc="04090019" w:tentative="1">
      <w:start w:val="1"/>
      <w:numFmt w:val="lowerLetter"/>
      <w:lvlText w:val="%5."/>
      <w:lvlJc w:val="left"/>
      <w:pPr>
        <w:ind w:left="4953" w:hanging="360"/>
      </w:pPr>
      <w:rPr>
        <w:rFonts w:cs="Times New Roman"/>
      </w:rPr>
    </w:lvl>
    <w:lvl w:ilvl="5" w:tplc="0409001B" w:tentative="1">
      <w:start w:val="1"/>
      <w:numFmt w:val="lowerRoman"/>
      <w:lvlText w:val="%6."/>
      <w:lvlJc w:val="right"/>
      <w:pPr>
        <w:ind w:left="5673" w:hanging="180"/>
      </w:pPr>
      <w:rPr>
        <w:rFonts w:cs="Times New Roman"/>
      </w:rPr>
    </w:lvl>
    <w:lvl w:ilvl="6" w:tplc="0409000F" w:tentative="1">
      <w:start w:val="1"/>
      <w:numFmt w:val="decimal"/>
      <w:lvlText w:val="%7."/>
      <w:lvlJc w:val="left"/>
      <w:pPr>
        <w:ind w:left="6393" w:hanging="360"/>
      </w:pPr>
      <w:rPr>
        <w:rFonts w:cs="Times New Roman"/>
      </w:rPr>
    </w:lvl>
    <w:lvl w:ilvl="7" w:tplc="04090019" w:tentative="1">
      <w:start w:val="1"/>
      <w:numFmt w:val="lowerLetter"/>
      <w:lvlText w:val="%8."/>
      <w:lvlJc w:val="left"/>
      <w:pPr>
        <w:ind w:left="7113" w:hanging="360"/>
      </w:pPr>
      <w:rPr>
        <w:rFonts w:cs="Times New Roman"/>
      </w:rPr>
    </w:lvl>
    <w:lvl w:ilvl="8" w:tplc="0409001B" w:tentative="1">
      <w:start w:val="1"/>
      <w:numFmt w:val="lowerRoman"/>
      <w:lvlText w:val="%9."/>
      <w:lvlJc w:val="right"/>
      <w:pPr>
        <w:ind w:left="7833" w:hanging="180"/>
      </w:pPr>
      <w:rPr>
        <w:rFonts w:cs="Times New Roman"/>
      </w:rPr>
    </w:lvl>
  </w:abstractNum>
  <w:abstractNum w:abstractNumId="7">
    <w:nsid w:val="18467C59"/>
    <w:multiLevelType w:val="multilevel"/>
    <w:tmpl w:val="E0BE538C"/>
    <w:lvl w:ilvl="0">
      <w:start w:val="7"/>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nsid w:val="18565057"/>
    <w:multiLevelType w:val="multilevel"/>
    <w:tmpl w:val="07C0B32A"/>
    <w:lvl w:ilvl="0">
      <w:start w:val="1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187202D7"/>
    <w:multiLevelType w:val="multilevel"/>
    <w:tmpl w:val="B030958A"/>
    <w:lvl w:ilvl="0">
      <w:start w:val="5"/>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1EC76A5C"/>
    <w:multiLevelType w:val="hybridMultilevel"/>
    <w:tmpl w:val="2390D5CA"/>
    <w:lvl w:ilvl="0" w:tplc="DBC018C6">
      <w:start w:val="1"/>
      <w:numFmt w:val="lowerLetter"/>
      <w:lvlText w:val="%1)"/>
      <w:lvlJc w:val="left"/>
      <w:pPr>
        <w:ind w:left="1713" w:hanging="360"/>
      </w:pPr>
      <w:rPr>
        <w:rFonts w:cs="Times New Roman" w:hint="default"/>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1">
    <w:nsid w:val="26344308"/>
    <w:multiLevelType w:val="hybridMultilevel"/>
    <w:tmpl w:val="93D85FAA"/>
    <w:lvl w:ilvl="0" w:tplc="30F47B0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A251153"/>
    <w:multiLevelType w:val="hybridMultilevel"/>
    <w:tmpl w:val="919226EE"/>
    <w:lvl w:ilvl="0" w:tplc="1952A26C">
      <w:start w:val="1"/>
      <w:numFmt w:val="lowerLetter"/>
      <w:lvlText w:val="%1)"/>
      <w:lvlJc w:val="left"/>
      <w:pPr>
        <w:ind w:left="720" w:hanging="360"/>
      </w:pPr>
      <w:rPr>
        <w:rFonts w:cs="Times New Roman" w:hint="default"/>
      </w:rPr>
    </w:lvl>
    <w:lvl w:ilvl="1" w:tplc="3DE4B1EC">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4E1C5A"/>
    <w:multiLevelType w:val="hybridMultilevel"/>
    <w:tmpl w:val="CC321256"/>
    <w:lvl w:ilvl="0" w:tplc="B752772E">
      <w:start w:val="1"/>
      <w:numFmt w:val="lowerLetter"/>
      <w:lvlText w:val="%1)"/>
      <w:lvlJc w:val="left"/>
      <w:pPr>
        <w:ind w:left="1068" w:hanging="360"/>
      </w:pPr>
      <w:rPr>
        <w:rFonts w:cs="Times New Roman" w:hint="default"/>
      </w:rPr>
    </w:lvl>
    <w:lvl w:ilvl="1" w:tplc="04090019" w:tentative="1">
      <w:start w:val="1"/>
      <w:numFmt w:val="lowerLetter"/>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14">
    <w:nsid w:val="32B76059"/>
    <w:multiLevelType w:val="multilevel"/>
    <w:tmpl w:val="627EF07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i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3E8C3D87"/>
    <w:multiLevelType w:val="hybridMultilevel"/>
    <w:tmpl w:val="4BC64D48"/>
    <w:lvl w:ilvl="0" w:tplc="04090017">
      <w:start w:val="1"/>
      <w:numFmt w:val="lowerLetter"/>
      <w:lvlText w:val="%1)"/>
      <w:lvlJc w:val="left"/>
      <w:pPr>
        <w:ind w:left="1572" w:hanging="360"/>
      </w:pPr>
      <w:rPr>
        <w:rFonts w:cs="Times New Roman"/>
      </w:rPr>
    </w:lvl>
    <w:lvl w:ilvl="1" w:tplc="04090019" w:tentative="1">
      <w:start w:val="1"/>
      <w:numFmt w:val="lowerLetter"/>
      <w:lvlText w:val="%2."/>
      <w:lvlJc w:val="left"/>
      <w:pPr>
        <w:ind w:left="2292" w:hanging="360"/>
      </w:pPr>
      <w:rPr>
        <w:rFonts w:cs="Times New Roman"/>
      </w:rPr>
    </w:lvl>
    <w:lvl w:ilvl="2" w:tplc="0409001B" w:tentative="1">
      <w:start w:val="1"/>
      <w:numFmt w:val="lowerRoman"/>
      <w:lvlText w:val="%3."/>
      <w:lvlJc w:val="right"/>
      <w:pPr>
        <w:ind w:left="3012" w:hanging="180"/>
      </w:pPr>
      <w:rPr>
        <w:rFonts w:cs="Times New Roman"/>
      </w:rPr>
    </w:lvl>
    <w:lvl w:ilvl="3" w:tplc="0409000F" w:tentative="1">
      <w:start w:val="1"/>
      <w:numFmt w:val="decimal"/>
      <w:lvlText w:val="%4."/>
      <w:lvlJc w:val="left"/>
      <w:pPr>
        <w:ind w:left="3732" w:hanging="360"/>
      </w:pPr>
      <w:rPr>
        <w:rFonts w:cs="Times New Roman"/>
      </w:rPr>
    </w:lvl>
    <w:lvl w:ilvl="4" w:tplc="04090019" w:tentative="1">
      <w:start w:val="1"/>
      <w:numFmt w:val="lowerLetter"/>
      <w:lvlText w:val="%5."/>
      <w:lvlJc w:val="left"/>
      <w:pPr>
        <w:ind w:left="4452" w:hanging="360"/>
      </w:pPr>
      <w:rPr>
        <w:rFonts w:cs="Times New Roman"/>
      </w:rPr>
    </w:lvl>
    <w:lvl w:ilvl="5" w:tplc="0409001B" w:tentative="1">
      <w:start w:val="1"/>
      <w:numFmt w:val="lowerRoman"/>
      <w:lvlText w:val="%6."/>
      <w:lvlJc w:val="right"/>
      <w:pPr>
        <w:ind w:left="5172" w:hanging="180"/>
      </w:pPr>
      <w:rPr>
        <w:rFonts w:cs="Times New Roman"/>
      </w:rPr>
    </w:lvl>
    <w:lvl w:ilvl="6" w:tplc="0409000F" w:tentative="1">
      <w:start w:val="1"/>
      <w:numFmt w:val="decimal"/>
      <w:lvlText w:val="%7."/>
      <w:lvlJc w:val="left"/>
      <w:pPr>
        <w:ind w:left="5892" w:hanging="360"/>
      </w:pPr>
      <w:rPr>
        <w:rFonts w:cs="Times New Roman"/>
      </w:rPr>
    </w:lvl>
    <w:lvl w:ilvl="7" w:tplc="04090019" w:tentative="1">
      <w:start w:val="1"/>
      <w:numFmt w:val="lowerLetter"/>
      <w:lvlText w:val="%8."/>
      <w:lvlJc w:val="left"/>
      <w:pPr>
        <w:ind w:left="6612" w:hanging="360"/>
      </w:pPr>
      <w:rPr>
        <w:rFonts w:cs="Times New Roman"/>
      </w:rPr>
    </w:lvl>
    <w:lvl w:ilvl="8" w:tplc="0409001B" w:tentative="1">
      <w:start w:val="1"/>
      <w:numFmt w:val="lowerRoman"/>
      <w:lvlText w:val="%9."/>
      <w:lvlJc w:val="right"/>
      <w:pPr>
        <w:ind w:left="7332" w:hanging="180"/>
      </w:pPr>
      <w:rPr>
        <w:rFonts w:cs="Times New Roman"/>
      </w:rPr>
    </w:lvl>
  </w:abstractNum>
  <w:abstractNum w:abstractNumId="16">
    <w:nsid w:val="47903249"/>
    <w:multiLevelType w:val="hybridMultilevel"/>
    <w:tmpl w:val="A5B4691A"/>
    <w:lvl w:ilvl="0" w:tplc="D63AE984">
      <w:start w:val="1"/>
      <w:numFmt w:val="lowerLetter"/>
      <w:lvlText w:val="%1)"/>
      <w:lvlJc w:val="left"/>
      <w:pPr>
        <w:ind w:left="1636" w:hanging="360"/>
      </w:pPr>
      <w:rPr>
        <w:rFonts w:cs="Times New Roman" w:hint="default"/>
      </w:rPr>
    </w:lvl>
    <w:lvl w:ilvl="1" w:tplc="04090019">
      <w:start w:val="1"/>
      <w:numFmt w:val="lowerLetter"/>
      <w:lvlText w:val="%2."/>
      <w:lvlJc w:val="left"/>
      <w:pPr>
        <w:ind w:left="2716" w:hanging="360"/>
      </w:pPr>
      <w:rPr>
        <w:rFonts w:cs="Times New Roman"/>
      </w:rPr>
    </w:lvl>
    <w:lvl w:ilvl="2" w:tplc="0409001B">
      <w:start w:val="1"/>
      <w:numFmt w:val="lowerRoman"/>
      <w:lvlText w:val="%3."/>
      <w:lvlJc w:val="right"/>
      <w:pPr>
        <w:ind w:left="3436" w:hanging="180"/>
      </w:pPr>
      <w:rPr>
        <w:rFonts w:cs="Times New Roman"/>
      </w:rPr>
    </w:lvl>
    <w:lvl w:ilvl="3" w:tplc="0409000F">
      <w:start w:val="1"/>
      <w:numFmt w:val="decimal"/>
      <w:lvlText w:val="%4."/>
      <w:lvlJc w:val="left"/>
      <w:pPr>
        <w:ind w:left="4156" w:hanging="360"/>
      </w:pPr>
      <w:rPr>
        <w:rFonts w:cs="Times New Roman"/>
      </w:rPr>
    </w:lvl>
    <w:lvl w:ilvl="4" w:tplc="04090019">
      <w:start w:val="1"/>
      <w:numFmt w:val="lowerLetter"/>
      <w:lvlText w:val="%5."/>
      <w:lvlJc w:val="left"/>
      <w:pPr>
        <w:ind w:left="4876" w:hanging="360"/>
      </w:pPr>
      <w:rPr>
        <w:rFonts w:cs="Times New Roman"/>
      </w:rPr>
    </w:lvl>
    <w:lvl w:ilvl="5" w:tplc="0409001B">
      <w:start w:val="1"/>
      <w:numFmt w:val="lowerRoman"/>
      <w:lvlText w:val="%6."/>
      <w:lvlJc w:val="right"/>
      <w:pPr>
        <w:ind w:left="5596" w:hanging="180"/>
      </w:pPr>
      <w:rPr>
        <w:rFonts w:cs="Times New Roman"/>
      </w:rPr>
    </w:lvl>
    <w:lvl w:ilvl="6" w:tplc="0409000F">
      <w:start w:val="1"/>
      <w:numFmt w:val="decimal"/>
      <w:lvlText w:val="%7."/>
      <w:lvlJc w:val="left"/>
      <w:pPr>
        <w:ind w:left="6316" w:hanging="360"/>
      </w:pPr>
      <w:rPr>
        <w:rFonts w:cs="Times New Roman"/>
      </w:rPr>
    </w:lvl>
    <w:lvl w:ilvl="7" w:tplc="04090019">
      <w:start w:val="1"/>
      <w:numFmt w:val="lowerLetter"/>
      <w:lvlText w:val="%8."/>
      <w:lvlJc w:val="left"/>
      <w:pPr>
        <w:ind w:left="7036" w:hanging="360"/>
      </w:pPr>
      <w:rPr>
        <w:rFonts w:cs="Times New Roman"/>
      </w:rPr>
    </w:lvl>
    <w:lvl w:ilvl="8" w:tplc="0409001B">
      <w:start w:val="1"/>
      <w:numFmt w:val="lowerRoman"/>
      <w:lvlText w:val="%9."/>
      <w:lvlJc w:val="right"/>
      <w:pPr>
        <w:ind w:left="7756" w:hanging="180"/>
      </w:pPr>
      <w:rPr>
        <w:rFonts w:cs="Times New Roman"/>
      </w:rPr>
    </w:lvl>
  </w:abstractNum>
  <w:abstractNum w:abstractNumId="17">
    <w:nsid w:val="4A4A2AF3"/>
    <w:multiLevelType w:val="hybridMultilevel"/>
    <w:tmpl w:val="DC94D004"/>
    <w:lvl w:ilvl="0" w:tplc="0A1C52C0">
      <w:start w:val="1"/>
      <w:numFmt w:val="lowerLetter"/>
      <w:lvlText w:val="%1)"/>
      <w:lvlJc w:val="left"/>
      <w:pPr>
        <w:ind w:left="720" w:hanging="360"/>
      </w:pPr>
      <w:rPr>
        <w:rFonts w:cs="Times New Roman" w:hint="default"/>
      </w:rPr>
    </w:lvl>
    <w:lvl w:ilvl="1" w:tplc="88A6BBDE">
      <w:start w:val="2"/>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C314AE7"/>
    <w:multiLevelType w:val="multilevel"/>
    <w:tmpl w:val="E57EB24E"/>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C5C376B"/>
    <w:multiLevelType w:val="multilevel"/>
    <w:tmpl w:val="DEFE54FA"/>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123040F"/>
    <w:multiLevelType w:val="multilevel"/>
    <w:tmpl w:val="04883056"/>
    <w:lvl w:ilvl="0">
      <w:start w:val="7"/>
      <w:numFmt w:val="decimal"/>
      <w:lvlText w:val="%1."/>
      <w:lvlJc w:val="left"/>
      <w:pPr>
        <w:ind w:left="360" w:hanging="360"/>
      </w:pPr>
      <w:rPr>
        <w:rFonts w:cs="Times New Roman" w:hint="default"/>
      </w:rPr>
    </w:lvl>
    <w:lvl w:ilvl="1">
      <w:start w:val="3"/>
      <w:numFmt w:val="decimal"/>
      <w:lvlText w:val="%1.%2."/>
      <w:lvlJc w:val="left"/>
      <w:pPr>
        <w:ind w:left="792" w:hanging="432"/>
      </w:pPr>
      <w:rPr>
        <w:rFonts w:cs="Times New Roman" w:hint="default"/>
      </w:rPr>
    </w:lvl>
    <w:lvl w:ilvl="2">
      <w:start w:val="3"/>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52072ACA"/>
    <w:multiLevelType w:val="hybridMultilevel"/>
    <w:tmpl w:val="8F006638"/>
    <w:lvl w:ilvl="0" w:tplc="F79EF78A">
      <w:start w:val="1"/>
      <w:numFmt w:val="lowerLetter"/>
      <w:lvlText w:val="%1)"/>
      <w:lvlJc w:val="left"/>
      <w:pPr>
        <w:ind w:left="144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2">
    <w:nsid w:val="59932A3E"/>
    <w:multiLevelType w:val="multilevel"/>
    <w:tmpl w:val="C73AAE46"/>
    <w:lvl w:ilvl="0">
      <w:start w:val="1"/>
      <w:numFmt w:val="lowerLetter"/>
      <w:lvlText w:val="%1)"/>
      <w:lvlJc w:val="left"/>
      <w:pPr>
        <w:ind w:left="1713" w:hanging="360"/>
      </w:pPr>
      <w:rPr>
        <w:rFonts w:cs="Times New Roman" w:hint="default"/>
      </w:rPr>
    </w:lvl>
    <w:lvl w:ilvl="1">
      <w:start w:val="1"/>
      <w:numFmt w:val="lowerLetter"/>
      <w:lvlText w:val="%2."/>
      <w:lvlJc w:val="left"/>
      <w:pPr>
        <w:ind w:left="2793" w:hanging="360"/>
      </w:pPr>
      <w:rPr>
        <w:rFonts w:cs="Times New Roman"/>
      </w:rPr>
    </w:lvl>
    <w:lvl w:ilvl="2">
      <w:start w:val="1"/>
      <w:numFmt w:val="lowerRoman"/>
      <w:lvlText w:val="%3."/>
      <w:lvlJc w:val="right"/>
      <w:pPr>
        <w:ind w:left="3513" w:hanging="180"/>
      </w:pPr>
      <w:rPr>
        <w:rFonts w:cs="Times New Roman"/>
      </w:rPr>
    </w:lvl>
    <w:lvl w:ilvl="3">
      <w:start w:val="1"/>
      <w:numFmt w:val="decimal"/>
      <w:lvlText w:val="%4."/>
      <w:lvlJc w:val="left"/>
      <w:pPr>
        <w:ind w:left="4233" w:hanging="360"/>
      </w:pPr>
      <w:rPr>
        <w:rFonts w:cs="Times New Roman"/>
      </w:rPr>
    </w:lvl>
    <w:lvl w:ilvl="4">
      <w:start w:val="1"/>
      <w:numFmt w:val="lowerLetter"/>
      <w:lvlText w:val="%5."/>
      <w:lvlJc w:val="left"/>
      <w:pPr>
        <w:ind w:left="4953" w:hanging="360"/>
      </w:pPr>
      <w:rPr>
        <w:rFonts w:cs="Times New Roman"/>
      </w:rPr>
    </w:lvl>
    <w:lvl w:ilvl="5">
      <w:start w:val="1"/>
      <w:numFmt w:val="lowerRoman"/>
      <w:lvlText w:val="%6."/>
      <w:lvlJc w:val="right"/>
      <w:pPr>
        <w:ind w:left="5673" w:hanging="180"/>
      </w:pPr>
      <w:rPr>
        <w:rFonts w:cs="Times New Roman"/>
      </w:rPr>
    </w:lvl>
    <w:lvl w:ilvl="6">
      <w:start w:val="1"/>
      <w:numFmt w:val="decimal"/>
      <w:lvlText w:val="%7."/>
      <w:lvlJc w:val="left"/>
      <w:pPr>
        <w:ind w:left="6393" w:hanging="360"/>
      </w:pPr>
      <w:rPr>
        <w:rFonts w:cs="Times New Roman"/>
      </w:rPr>
    </w:lvl>
    <w:lvl w:ilvl="7">
      <w:start w:val="1"/>
      <w:numFmt w:val="lowerLetter"/>
      <w:lvlText w:val="%8."/>
      <w:lvlJc w:val="left"/>
      <w:pPr>
        <w:ind w:left="7113" w:hanging="360"/>
      </w:pPr>
      <w:rPr>
        <w:rFonts w:cs="Times New Roman"/>
      </w:rPr>
    </w:lvl>
    <w:lvl w:ilvl="8">
      <w:start w:val="1"/>
      <w:numFmt w:val="lowerRoman"/>
      <w:lvlText w:val="%9."/>
      <w:lvlJc w:val="right"/>
      <w:pPr>
        <w:ind w:left="7833" w:hanging="180"/>
      </w:pPr>
      <w:rPr>
        <w:rFonts w:cs="Times New Roman"/>
      </w:rPr>
    </w:lvl>
  </w:abstractNum>
  <w:abstractNum w:abstractNumId="23">
    <w:nsid w:val="5CE17599"/>
    <w:multiLevelType w:val="hybridMultilevel"/>
    <w:tmpl w:val="8034B85E"/>
    <w:lvl w:ilvl="0" w:tplc="D44AB422">
      <w:start w:val="1"/>
      <w:numFmt w:val="lowerLetter"/>
      <w:lvlText w:val="%1)"/>
      <w:lvlJc w:val="left"/>
      <w:pPr>
        <w:ind w:left="1353"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7DF22BD"/>
    <w:multiLevelType w:val="multilevel"/>
    <w:tmpl w:val="28804324"/>
    <w:lvl w:ilvl="0">
      <w:start w:val="6"/>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682051DA"/>
    <w:multiLevelType w:val="hybridMultilevel"/>
    <w:tmpl w:val="B20AC56A"/>
    <w:lvl w:ilvl="0" w:tplc="87E292DA">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6985560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6AE76C47"/>
    <w:multiLevelType w:val="hybridMultilevel"/>
    <w:tmpl w:val="50428704"/>
    <w:lvl w:ilvl="0" w:tplc="B752772E">
      <w:start w:val="1"/>
      <w:numFmt w:val="lowerLetter"/>
      <w:lvlText w:val="%1)"/>
      <w:lvlJc w:val="left"/>
      <w:pPr>
        <w:ind w:left="1152" w:hanging="360"/>
      </w:pPr>
      <w:rPr>
        <w:rFonts w:cs="Times New Roman" w:hint="default"/>
      </w:rPr>
    </w:lvl>
    <w:lvl w:ilvl="1" w:tplc="04090019">
      <w:start w:val="1"/>
      <w:numFmt w:val="lowerLetter"/>
      <w:lvlText w:val="%2."/>
      <w:lvlJc w:val="left"/>
      <w:pPr>
        <w:ind w:left="2232" w:hanging="360"/>
      </w:pPr>
      <w:rPr>
        <w:rFonts w:cs="Times New Roman"/>
      </w:rPr>
    </w:lvl>
    <w:lvl w:ilvl="2" w:tplc="0409001B">
      <w:start w:val="1"/>
      <w:numFmt w:val="lowerRoman"/>
      <w:lvlText w:val="%3."/>
      <w:lvlJc w:val="right"/>
      <w:pPr>
        <w:ind w:left="2952" w:hanging="180"/>
      </w:pPr>
      <w:rPr>
        <w:rFonts w:cs="Times New Roman"/>
      </w:rPr>
    </w:lvl>
    <w:lvl w:ilvl="3" w:tplc="0409000F">
      <w:start w:val="1"/>
      <w:numFmt w:val="decimal"/>
      <w:lvlText w:val="%4."/>
      <w:lvlJc w:val="left"/>
      <w:pPr>
        <w:ind w:left="3672" w:hanging="360"/>
      </w:pPr>
      <w:rPr>
        <w:rFonts w:cs="Times New Roman"/>
      </w:rPr>
    </w:lvl>
    <w:lvl w:ilvl="4" w:tplc="04090019">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28">
    <w:nsid w:val="6D866B25"/>
    <w:multiLevelType w:val="hybridMultilevel"/>
    <w:tmpl w:val="52562F3C"/>
    <w:lvl w:ilvl="0" w:tplc="5FFCBF4A">
      <w:start w:val="1"/>
      <w:numFmt w:val="lowerLetter"/>
      <w:lvlText w:val="%1)"/>
      <w:lvlJc w:val="left"/>
      <w:pPr>
        <w:ind w:left="1353" w:hanging="360"/>
      </w:pPr>
      <w:rPr>
        <w:rFonts w:cs="Times New Roman" w:hint="default"/>
      </w:rPr>
    </w:lvl>
    <w:lvl w:ilvl="1" w:tplc="04090019">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29">
    <w:nsid w:val="6E336028"/>
    <w:multiLevelType w:val="multilevel"/>
    <w:tmpl w:val="BBB825C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719F2A8A"/>
    <w:multiLevelType w:val="multilevel"/>
    <w:tmpl w:val="16307E8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lowerLetter"/>
      <w:lvlText w:val="%3)"/>
      <w:lvlJc w:val="left"/>
      <w:pPr>
        <w:ind w:left="1080" w:hanging="360"/>
      </w:pPr>
      <w:rPr>
        <w:rFonts w:cs="Times New Roman" w:hint="default"/>
      </w:rPr>
    </w:lvl>
    <w:lvl w:ilvl="3">
      <w:start w:val="1"/>
      <w:numFmt w:val="lowerLetter"/>
      <w:lvlText w:val="%4)"/>
      <w:lvlJc w:val="left"/>
      <w:pPr>
        <w:ind w:left="1440" w:hanging="360"/>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71B27955"/>
    <w:multiLevelType w:val="hybridMultilevel"/>
    <w:tmpl w:val="F3F80F38"/>
    <w:lvl w:ilvl="0" w:tplc="D63AE984">
      <w:start w:val="1"/>
      <w:numFmt w:val="lowerLetter"/>
      <w:lvlText w:val="%1)"/>
      <w:lvlJc w:val="left"/>
      <w:pPr>
        <w:ind w:left="1353" w:hanging="360"/>
      </w:pPr>
      <w:rPr>
        <w:rFonts w:cs="Times New Roman" w:hint="default"/>
      </w:rPr>
    </w:lvl>
    <w:lvl w:ilvl="1" w:tplc="A2DE8BD0">
      <w:start w:val="1"/>
      <w:numFmt w:val="lowerRoman"/>
      <w:lvlText w:val="%2."/>
      <w:lvlJc w:val="right"/>
      <w:pPr>
        <w:ind w:left="2253" w:hanging="180"/>
      </w:pPr>
      <w:rPr>
        <w:rFonts w:cs="Times New Roman" w:hint="default"/>
      </w:rPr>
    </w:lvl>
    <w:lvl w:ilvl="2" w:tplc="0409001B">
      <w:start w:val="1"/>
      <w:numFmt w:val="lowerRoman"/>
      <w:lvlText w:val="%3."/>
      <w:lvlJc w:val="right"/>
      <w:pPr>
        <w:ind w:left="3153" w:hanging="180"/>
      </w:pPr>
      <w:rPr>
        <w:rFonts w:cs="Times New Roman"/>
      </w:rPr>
    </w:lvl>
    <w:lvl w:ilvl="3" w:tplc="0409000F">
      <w:start w:val="1"/>
      <w:numFmt w:val="decimal"/>
      <w:lvlText w:val="%4."/>
      <w:lvlJc w:val="left"/>
      <w:pPr>
        <w:ind w:left="3873" w:hanging="360"/>
      </w:pPr>
      <w:rPr>
        <w:rFonts w:cs="Times New Roman"/>
      </w:rPr>
    </w:lvl>
    <w:lvl w:ilvl="4" w:tplc="04090019">
      <w:start w:val="1"/>
      <w:numFmt w:val="lowerLetter"/>
      <w:lvlText w:val="%5."/>
      <w:lvlJc w:val="left"/>
      <w:pPr>
        <w:ind w:left="4593" w:hanging="360"/>
      </w:pPr>
      <w:rPr>
        <w:rFonts w:cs="Times New Roman"/>
      </w:rPr>
    </w:lvl>
    <w:lvl w:ilvl="5" w:tplc="0409001B">
      <w:start w:val="1"/>
      <w:numFmt w:val="lowerRoman"/>
      <w:lvlText w:val="%6."/>
      <w:lvlJc w:val="right"/>
      <w:pPr>
        <w:ind w:left="5313" w:hanging="180"/>
      </w:pPr>
      <w:rPr>
        <w:rFonts w:cs="Times New Roman"/>
      </w:rPr>
    </w:lvl>
    <w:lvl w:ilvl="6" w:tplc="0409000F">
      <w:start w:val="1"/>
      <w:numFmt w:val="decimal"/>
      <w:lvlText w:val="%7."/>
      <w:lvlJc w:val="left"/>
      <w:pPr>
        <w:ind w:left="6033" w:hanging="360"/>
      </w:pPr>
      <w:rPr>
        <w:rFonts w:cs="Times New Roman"/>
      </w:rPr>
    </w:lvl>
    <w:lvl w:ilvl="7" w:tplc="04090019">
      <w:start w:val="1"/>
      <w:numFmt w:val="lowerLetter"/>
      <w:lvlText w:val="%8."/>
      <w:lvlJc w:val="left"/>
      <w:pPr>
        <w:ind w:left="6753" w:hanging="360"/>
      </w:pPr>
      <w:rPr>
        <w:rFonts w:cs="Times New Roman"/>
      </w:rPr>
    </w:lvl>
    <w:lvl w:ilvl="8" w:tplc="0409001B">
      <w:start w:val="1"/>
      <w:numFmt w:val="lowerRoman"/>
      <w:lvlText w:val="%9."/>
      <w:lvlJc w:val="right"/>
      <w:pPr>
        <w:ind w:left="7473" w:hanging="180"/>
      </w:pPr>
      <w:rPr>
        <w:rFonts w:cs="Times New Roman"/>
      </w:rPr>
    </w:lvl>
  </w:abstractNum>
  <w:abstractNum w:abstractNumId="32">
    <w:nsid w:val="71EC499C"/>
    <w:multiLevelType w:val="multilevel"/>
    <w:tmpl w:val="F028B54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3">
    <w:nsid w:val="74B469E4"/>
    <w:multiLevelType w:val="hybridMultilevel"/>
    <w:tmpl w:val="5A7E039A"/>
    <w:lvl w:ilvl="0" w:tplc="9C26CA5C">
      <w:start w:val="1"/>
      <w:numFmt w:val="lowerLetter"/>
      <w:lvlText w:val="%1)"/>
      <w:lvlJc w:val="left"/>
      <w:pPr>
        <w:ind w:left="1353"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6C419B9"/>
    <w:multiLevelType w:val="hybridMultilevel"/>
    <w:tmpl w:val="193439CC"/>
    <w:lvl w:ilvl="0" w:tplc="0A1C52C0">
      <w:start w:val="1"/>
      <w:numFmt w:val="lowerLetter"/>
      <w:lvlText w:val="%1)"/>
      <w:lvlJc w:val="left"/>
      <w:pPr>
        <w:ind w:left="720" w:hanging="360"/>
      </w:pPr>
      <w:rPr>
        <w:rFonts w:cs="Times New Roman" w:hint="default"/>
      </w:rPr>
    </w:lvl>
    <w:lvl w:ilvl="1" w:tplc="B8E01AC4">
      <w:start w:val="1"/>
      <w:numFmt w:val="lowerLetter"/>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7BC57DB7"/>
    <w:multiLevelType w:val="hybridMultilevel"/>
    <w:tmpl w:val="C0A408A8"/>
    <w:lvl w:ilvl="0" w:tplc="0F743B94">
      <w:start w:val="3"/>
      <w:numFmt w:val="lowerLetter"/>
      <w:lvlText w:val="%1)"/>
      <w:lvlJc w:val="left"/>
      <w:pPr>
        <w:ind w:left="1800" w:hanging="360"/>
      </w:pPr>
      <w:rPr>
        <w:rFonts w:cs="Times New Roman" w:hint="default"/>
      </w:rPr>
    </w:lvl>
    <w:lvl w:ilvl="1" w:tplc="899EF23C">
      <w:start w:val="3"/>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9"/>
  </w:num>
  <w:num w:numId="13">
    <w:abstractNumId w:val="8"/>
  </w:num>
  <w:num w:numId="14">
    <w:abstractNumId w:val="13"/>
  </w:num>
  <w:num w:numId="15">
    <w:abstractNumId w:val="27"/>
  </w:num>
  <w:num w:numId="16">
    <w:abstractNumId w:val="20"/>
  </w:num>
  <w:num w:numId="17">
    <w:abstractNumId w:val="2"/>
  </w:num>
  <w:num w:numId="18">
    <w:abstractNumId w:val="21"/>
  </w:num>
  <w:num w:numId="19">
    <w:abstractNumId w:val="16"/>
  </w:num>
  <w:num w:numId="20">
    <w:abstractNumId w:val="26"/>
  </w:num>
  <w:num w:numId="21">
    <w:abstractNumId w:val="31"/>
  </w:num>
  <w:num w:numId="22">
    <w:abstractNumId w:val="15"/>
  </w:num>
  <w:num w:numId="23">
    <w:abstractNumId w:val="11"/>
  </w:num>
  <w:num w:numId="24">
    <w:abstractNumId w:val="25"/>
  </w:num>
  <w:num w:numId="25">
    <w:abstractNumId w:val="28"/>
  </w:num>
  <w:num w:numId="26">
    <w:abstractNumId w:val="10"/>
  </w:num>
  <w:num w:numId="27">
    <w:abstractNumId w:val="6"/>
  </w:num>
  <w:num w:numId="28">
    <w:abstractNumId w:val="0"/>
  </w:num>
  <w:num w:numId="29">
    <w:abstractNumId w:val="30"/>
  </w:num>
  <w:num w:numId="30">
    <w:abstractNumId w:val="32"/>
  </w:num>
  <w:num w:numId="31">
    <w:abstractNumId w:val="19"/>
  </w:num>
  <w:num w:numId="32">
    <w:abstractNumId w:val="9"/>
  </w:num>
  <w:num w:numId="33">
    <w:abstractNumId w:val="24"/>
  </w:num>
  <w:num w:numId="34">
    <w:abstractNumId w:val="18"/>
  </w:num>
  <w:num w:numId="35">
    <w:abstractNumId w:val="7"/>
  </w:num>
  <w:num w:numId="36">
    <w:abstractNumId w:val="14"/>
  </w:num>
  <w:num w:numId="37">
    <w:abstractNumId w:val="12"/>
  </w:num>
  <w:num w:numId="38">
    <w:abstractNumId w:val="34"/>
  </w:num>
  <w:num w:numId="39">
    <w:abstractNumId w:val="17"/>
  </w:num>
  <w:num w:numId="40">
    <w:abstractNumId w:val="4"/>
  </w:num>
  <w:num w:numId="41">
    <w:abstractNumId w:val="5"/>
  </w:num>
  <w:num w:numId="42">
    <w:abstractNumId w:val="3"/>
  </w:num>
  <w:num w:numId="43">
    <w:abstractNumId w:val="35"/>
  </w:num>
  <w:num w:numId="44">
    <w:abstractNumId w:val="1"/>
  </w:num>
  <w:num w:numId="45">
    <w:abstractNumId w:val="23"/>
  </w:num>
  <w:num w:numId="46">
    <w:abstractNumId w:val="33"/>
  </w:num>
  <w:num w:numId="47">
    <w:abstractNumId w:val="2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attachedTemplate r:id="rId1"/>
  <w:trackRevisions/>
  <w:defaultTabStop w:val="709"/>
  <w:hyphenationZone w:val="425"/>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4157D4"/>
    <w:rsid w:val="0005127D"/>
    <w:rsid w:val="00061679"/>
    <w:rsid w:val="000B0CB2"/>
    <w:rsid w:val="000E3819"/>
    <w:rsid w:val="000F20C0"/>
    <w:rsid w:val="001175AB"/>
    <w:rsid w:val="00124793"/>
    <w:rsid w:val="00144253"/>
    <w:rsid w:val="0015755D"/>
    <w:rsid w:val="001825C9"/>
    <w:rsid w:val="001D08BB"/>
    <w:rsid w:val="001D69F0"/>
    <w:rsid w:val="001F0EF4"/>
    <w:rsid w:val="00201436"/>
    <w:rsid w:val="002165A3"/>
    <w:rsid w:val="00236067"/>
    <w:rsid w:val="00272E8C"/>
    <w:rsid w:val="002A6ADF"/>
    <w:rsid w:val="002E7576"/>
    <w:rsid w:val="00304FFE"/>
    <w:rsid w:val="00314D07"/>
    <w:rsid w:val="0032067D"/>
    <w:rsid w:val="003211EA"/>
    <w:rsid w:val="00344F64"/>
    <w:rsid w:val="00353CEB"/>
    <w:rsid w:val="00365E4F"/>
    <w:rsid w:val="00391AFD"/>
    <w:rsid w:val="00395441"/>
    <w:rsid w:val="003B2422"/>
    <w:rsid w:val="003D6C3D"/>
    <w:rsid w:val="003E728B"/>
    <w:rsid w:val="003F719E"/>
    <w:rsid w:val="004157D4"/>
    <w:rsid w:val="00417EF6"/>
    <w:rsid w:val="00423537"/>
    <w:rsid w:val="0043006F"/>
    <w:rsid w:val="00430836"/>
    <w:rsid w:val="00450C39"/>
    <w:rsid w:val="004516DD"/>
    <w:rsid w:val="00455C6C"/>
    <w:rsid w:val="0049050D"/>
    <w:rsid w:val="004B1E64"/>
    <w:rsid w:val="004C0076"/>
    <w:rsid w:val="004D1846"/>
    <w:rsid w:val="004E102F"/>
    <w:rsid w:val="004E7575"/>
    <w:rsid w:val="004F17A5"/>
    <w:rsid w:val="005213CB"/>
    <w:rsid w:val="005327BD"/>
    <w:rsid w:val="005742AD"/>
    <w:rsid w:val="0057758C"/>
    <w:rsid w:val="005A4431"/>
    <w:rsid w:val="005B6D3C"/>
    <w:rsid w:val="006238BC"/>
    <w:rsid w:val="00633245"/>
    <w:rsid w:val="006339A8"/>
    <w:rsid w:val="00651659"/>
    <w:rsid w:val="00685DE7"/>
    <w:rsid w:val="00697309"/>
    <w:rsid w:val="006C2BBF"/>
    <w:rsid w:val="006D40AD"/>
    <w:rsid w:val="006E5622"/>
    <w:rsid w:val="00711970"/>
    <w:rsid w:val="007904E4"/>
    <w:rsid w:val="007A326A"/>
    <w:rsid w:val="007A4957"/>
    <w:rsid w:val="007A69D5"/>
    <w:rsid w:val="007B456F"/>
    <w:rsid w:val="007C2C73"/>
    <w:rsid w:val="007C7850"/>
    <w:rsid w:val="0080230A"/>
    <w:rsid w:val="00824911"/>
    <w:rsid w:val="0083229C"/>
    <w:rsid w:val="0084227E"/>
    <w:rsid w:val="00846A0E"/>
    <w:rsid w:val="00857FF2"/>
    <w:rsid w:val="00875A97"/>
    <w:rsid w:val="0089217F"/>
    <w:rsid w:val="008A06BA"/>
    <w:rsid w:val="008B4AB8"/>
    <w:rsid w:val="008B5EE3"/>
    <w:rsid w:val="008B669C"/>
    <w:rsid w:val="008C4BC7"/>
    <w:rsid w:val="00903FD6"/>
    <w:rsid w:val="0091075D"/>
    <w:rsid w:val="00913D5B"/>
    <w:rsid w:val="00940218"/>
    <w:rsid w:val="00941FCE"/>
    <w:rsid w:val="0095388F"/>
    <w:rsid w:val="009D5021"/>
    <w:rsid w:val="009F6FCB"/>
    <w:rsid w:val="00A45FB6"/>
    <w:rsid w:val="00A56C1A"/>
    <w:rsid w:val="00A74899"/>
    <w:rsid w:val="00AB6625"/>
    <w:rsid w:val="00AE7C37"/>
    <w:rsid w:val="00B17FCF"/>
    <w:rsid w:val="00B35DDD"/>
    <w:rsid w:val="00B425AA"/>
    <w:rsid w:val="00B466CE"/>
    <w:rsid w:val="00BA7369"/>
    <w:rsid w:val="00BC21E4"/>
    <w:rsid w:val="00BC4E39"/>
    <w:rsid w:val="00BC5ABB"/>
    <w:rsid w:val="00BD1CD7"/>
    <w:rsid w:val="00BF42CB"/>
    <w:rsid w:val="00BF4DB1"/>
    <w:rsid w:val="00BF723E"/>
    <w:rsid w:val="00C05373"/>
    <w:rsid w:val="00C10ABF"/>
    <w:rsid w:val="00C2602C"/>
    <w:rsid w:val="00C3585D"/>
    <w:rsid w:val="00C5514E"/>
    <w:rsid w:val="00C56557"/>
    <w:rsid w:val="00C65415"/>
    <w:rsid w:val="00C86C13"/>
    <w:rsid w:val="00CB56D6"/>
    <w:rsid w:val="00CC477A"/>
    <w:rsid w:val="00CE0129"/>
    <w:rsid w:val="00CF0551"/>
    <w:rsid w:val="00CF79ED"/>
    <w:rsid w:val="00D41D6F"/>
    <w:rsid w:val="00D61829"/>
    <w:rsid w:val="00D65264"/>
    <w:rsid w:val="00D733E9"/>
    <w:rsid w:val="00D8172C"/>
    <w:rsid w:val="00DC579D"/>
    <w:rsid w:val="00DD2B4E"/>
    <w:rsid w:val="00DD75F3"/>
    <w:rsid w:val="00DE4647"/>
    <w:rsid w:val="00DF2513"/>
    <w:rsid w:val="00E020EB"/>
    <w:rsid w:val="00E036F6"/>
    <w:rsid w:val="00E05F37"/>
    <w:rsid w:val="00E24A38"/>
    <w:rsid w:val="00E375DB"/>
    <w:rsid w:val="00E41497"/>
    <w:rsid w:val="00E77EBD"/>
    <w:rsid w:val="00E8016E"/>
    <w:rsid w:val="00E87774"/>
    <w:rsid w:val="00E96D66"/>
    <w:rsid w:val="00ED0C4A"/>
    <w:rsid w:val="00F20AD1"/>
    <w:rsid w:val="00F3388D"/>
    <w:rsid w:val="00F643E6"/>
    <w:rsid w:val="00F74532"/>
    <w:rsid w:val="00F910D4"/>
    <w:rsid w:val="00F91A1B"/>
    <w:rsid w:val="00F96A3F"/>
    <w:rsid w:val="00FA0EF7"/>
    <w:rsid w:val="00FC3B05"/>
    <w:rsid w:val="00FE231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719E"/>
    <w:rPr>
      <w:sz w:val="24"/>
      <w:szCs w:val="24"/>
    </w:rPr>
  </w:style>
  <w:style w:type="paragraph" w:styleId="Ttulo1">
    <w:name w:val="heading 1"/>
    <w:basedOn w:val="Normal"/>
    <w:next w:val="Normal"/>
    <w:link w:val="Ttulo1Carcter"/>
    <w:qFormat/>
    <w:rsid w:val="003F719E"/>
    <w:pPr>
      <w:keepNext/>
      <w:outlineLvl w:val="0"/>
    </w:pPr>
    <w:rPr>
      <w:rFonts w:ascii="Comic Sans MS" w:hAnsi="Comic Sans MS"/>
      <w:b/>
    </w:rPr>
  </w:style>
  <w:style w:type="paragraph" w:styleId="Ttulo2">
    <w:name w:val="heading 2"/>
    <w:basedOn w:val="Normal"/>
    <w:next w:val="Normal"/>
    <w:link w:val="Ttulo2Carcter"/>
    <w:qFormat/>
    <w:rsid w:val="003F719E"/>
    <w:pPr>
      <w:keepNext/>
      <w:spacing w:before="240" w:after="60"/>
      <w:outlineLvl w:val="1"/>
    </w:pPr>
    <w:rPr>
      <w:rFonts w:ascii="Arial" w:hAnsi="Arial" w:cs="Arial"/>
      <w:b/>
      <w:bCs/>
      <w:i/>
      <w:iCs/>
      <w:sz w:val="28"/>
      <w:szCs w:val="28"/>
    </w:rPr>
  </w:style>
  <w:style w:type="paragraph" w:styleId="Ttulo3">
    <w:name w:val="heading 3"/>
    <w:basedOn w:val="Normal"/>
    <w:next w:val="Normal"/>
    <w:link w:val="Ttulo3Carcter"/>
    <w:qFormat/>
    <w:rsid w:val="003F719E"/>
    <w:pPr>
      <w:keepNext/>
      <w:spacing w:before="240" w:after="60"/>
      <w:outlineLvl w:val="2"/>
    </w:pPr>
    <w:rPr>
      <w:rFonts w:ascii="Arial" w:hAnsi="Arial" w:cs="Arial"/>
      <w:b/>
      <w:bCs/>
      <w:sz w:val="26"/>
      <w:szCs w:val="26"/>
    </w:rPr>
  </w:style>
  <w:style w:type="paragraph" w:styleId="Ttulo4">
    <w:name w:val="heading 4"/>
    <w:basedOn w:val="Normal"/>
    <w:next w:val="Normal"/>
    <w:link w:val="Ttulo4Carcter"/>
    <w:qFormat/>
    <w:rsid w:val="003F719E"/>
    <w:pPr>
      <w:keepNext/>
      <w:spacing w:before="240" w:after="60"/>
      <w:outlineLvl w:val="3"/>
    </w:pPr>
    <w:rPr>
      <w:b/>
      <w:bCs/>
      <w:sz w:val="28"/>
      <w:szCs w:val="28"/>
    </w:rPr>
  </w:style>
  <w:style w:type="paragraph" w:styleId="Ttulo6">
    <w:name w:val="heading 6"/>
    <w:basedOn w:val="Normal"/>
    <w:next w:val="Normal"/>
    <w:link w:val="Ttulo6Carcter"/>
    <w:qFormat/>
    <w:rsid w:val="003F719E"/>
    <w:pPr>
      <w:spacing w:before="240" w:after="60"/>
      <w:outlineLvl w:val="5"/>
    </w:pPr>
    <w:rPr>
      <w:b/>
      <w:bCs/>
      <w:sz w:val="22"/>
      <w:szCs w:val="22"/>
    </w:rPr>
  </w:style>
  <w:style w:type="character" w:default="1" w:styleId="Tipodeletrapredefinidodopargraf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Ttulo1Carcter">
    <w:name w:val="Título 1 Carácter"/>
    <w:basedOn w:val="Tipodeletrapredefinidodopargrafo"/>
    <w:link w:val="Ttulo1"/>
    <w:locked/>
    <w:rsid w:val="0032067D"/>
    <w:rPr>
      <w:rFonts w:ascii="Cambria" w:hAnsi="Cambria" w:cs="Times New Roman"/>
      <w:b/>
      <w:bCs/>
      <w:kern w:val="32"/>
      <w:sz w:val="32"/>
      <w:szCs w:val="32"/>
    </w:rPr>
  </w:style>
  <w:style w:type="character" w:customStyle="1" w:styleId="Ttulo2Carcter">
    <w:name w:val="Título 2 Carácter"/>
    <w:basedOn w:val="Tipodeletrapredefinidodopargrafo"/>
    <w:link w:val="Ttulo2"/>
    <w:semiHidden/>
    <w:locked/>
    <w:rsid w:val="0032067D"/>
    <w:rPr>
      <w:rFonts w:ascii="Cambria" w:hAnsi="Cambria" w:cs="Times New Roman"/>
      <w:b/>
      <w:bCs/>
      <w:i/>
      <w:iCs/>
      <w:sz w:val="28"/>
      <w:szCs w:val="28"/>
    </w:rPr>
  </w:style>
  <w:style w:type="character" w:customStyle="1" w:styleId="Ttulo3Carcter">
    <w:name w:val="Título 3 Carácter"/>
    <w:basedOn w:val="Tipodeletrapredefinidodopargrafo"/>
    <w:link w:val="Ttulo3"/>
    <w:semiHidden/>
    <w:locked/>
    <w:rsid w:val="0032067D"/>
    <w:rPr>
      <w:rFonts w:ascii="Cambria" w:hAnsi="Cambria" w:cs="Times New Roman"/>
      <w:b/>
      <w:bCs/>
      <w:sz w:val="26"/>
      <w:szCs w:val="26"/>
    </w:rPr>
  </w:style>
  <w:style w:type="character" w:customStyle="1" w:styleId="Ttulo4Carcter">
    <w:name w:val="Título 4 Carácter"/>
    <w:basedOn w:val="Tipodeletrapredefinidodopargrafo"/>
    <w:link w:val="Ttulo4"/>
    <w:semiHidden/>
    <w:locked/>
    <w:rsid w:val="0032067D"/>
    <w:rPr>
      <w:rFonts w:ascii="Calibri" w:hAnsi="Calibri" w:cs="Times New Roman"/>
      <w:b/>
      <w:bCs/>
      <w:sz w:val="28"/>
      <w:szCs w:val="28"/>
    </w:rPr>
  </w:style>
  <w:style w:type="character" w:customStyle="1" w:styleId="Ttulo6Carcter">
    <w:name w:val="Título 6 Carácter"/>
    <w:basedOn w:val="Tipodeletrapredefinidodopargrafo"/>
    <w:link w:val="Ttulo6"/>
    <w:semiHidden/>
    <w:locked/>
    <w:rsid w:val="0032067D"/>
    <w:rPr>
      <w:rFonts w:ascii="Calibri" w:hAnsi="Calibri" w:cs="Times New Roman"/>
      <w:b/>
      <w:bCs/>
    </w:rPr>
  </w:style>
  <w:style w:type="paragraph" w:styleId="Textodebalo">
    <w:name w:val="Balloon Text"/>
    <w:basedOn w:val="Normal"/>
    <w:link w:val="TextodebaloCarcter"/>
    <w:semiHidden/>
    <w:rsid w:val="003F719E"/>
    <w:rPr>
      <w:rFonts w:ascii="Tahoma" w:hAnsi="Tahoma" w:cs="Tahoma"/>
      <w:sz w:val="16"/>
      <w:szCs w:val="16"/>
    </w:rPr>
  </w:style>
  <w:style w:type="character" w:customStyle="1" w:styleId="TextodebaloCarcter">
    <w:name w:val="Texto de balão Carácter"/>
    <w:basedOn w:val="Tipodeletrapredefinidodopargrafo"/>
    <w:link w:val="Textodebalo"/>
    <w:semiHidden/>
    <w:locked/>
    <w:rsid w:val="003F719E"/>
    <w:rPr>
      <w:rFonts w:ascii="Lucida Grande" w:hAnsi="Lucida Grande" w:cs="Times New Roman"/>
      <w:sz w:val="18"/>
      <w:szCs w:val="18"/>
    </w:rPr>
  </w:style>
  <w:style w:type="paragraph" w:styleId="Avanodecorpodetexto">
    <w:name w:val="Body Text Indent"/>
    <w:basedOn w:val="Normal"/>
    <w:link w:val="AvanodecorpodetextoCarcter"/>
    <w:rsid w:val="003F719E"/>
    <w:pPr>
      <w:ind w:left="4253"/>
    </w:pPr>
  </w:style>
  <w:style w:type="character" w:customStyle="1" w:styleId="AvanodecorpodetextoCarcter">
    <w:name w:val="Avanço de corpo de texto Carácter"/>
    <w:basedOn w:val="Tipodeletrapredefinidodopargrafo"/>
    <w:link w:val="Avanodecorpodetexto"/>
    <w:semiHidden/>
    <w:locked/>
    <w:rsid w:val="0032067D"/>
    <w:rPr>
      <w:rFonts w:cs="Times New Roman"/>
      <w:sz w:val="24"/>
      <w:szCs w:val="24"/>
    </w:rPr>
  </w:style>
  <w:style w:type="paragraph" w:styleId="Cabealho">
    <w:name w:val="header"/>
    <w:basedOn w:val="Normal"/>
    <w:link w:val="CabealhoCarcter"/>
    <w:rsid w:val="003F719E"/>
    <w:pPr>
      <w:tabs>
        <w:tab w:val="center" w:pos="4252"/>
        <w:tab w:val="right" w:pos="8504"/>
      </w:tabs>
    </w:pPr>
  </w:style>
  <w:style w:type="character" w:customStyle="1" w:styleId="CabealhoCarcter">
    <w:name w:val="Cabeçalho Carácter"/>
    <w:basedOn w:val="Tipodeletrapredefinidodopargrafo"/>
    <w:link w:val="Cabealho"/>
    <w:semiHidden/>
    <w:locked/>
    <w:rsid w:val="0032067D"/>
    <w:rPr>
      <w:rFonts w:cs="Times New Roman"/>
      <w:sz w:val="24"/>
      <w:szCs w:val="24"/>
    </w:rPr>
  </w:style>
  <w:style w:type="paragraph" w:styleId="Rodap">
    <w:name w:val="footer"/>
    <w:basedOn w:val="Normal"/>
    <w:link w:val="RodapCarcter"/>
    <w:rsid w:val="003F719E"/>
    <w:pPr>
      <w:tabs>
        <w:tab w:val="center" w:pos="4252"/>
        <w:tab w:val="right" w:pos="8504"/>
      </w:tabs>
    </w:pPr>
  </w:style>
  <w:style w:type="character" w:customStyle="1" w:styleId="RodapCarcter">
    <w:name w:val="Rodapé Carácter"/>
    <w:basedOn w:val="Tipodeletrapredefinidodopargrafo"/>
    <w:link w:val="Rodap"/>
    <w:semiHidden/>
    <w:locked/>
    <w:rsid w:val="0032067D"/>
    <w:rPr>
      <w:rFonts w:cs="Times New Roman"/>
      <w:sz w:val="24"/>
      <w:szCs w:val="24"/>
    </w:rPr>
  </w:style>
  <w:style w:type="character" w:styleId="Hiperligao">
    <w:name w:val="Hyperlink"/>
    <w:basedOn w:val="Tipodeletrapredefinidodopargrafo"/>
    <w:rsid w:val="003F719E"/>
    <w:rPr>
      <w:rFonts w:cs="Times New Roman"/>
      <w:color w:val="0000FF"/>
      <w:u w:val="single"/>
    </w:rPr>
  </w:style>
  <w:style w:type="table" w:styleId="Tabelacomgrelha">
    <w:name w:val="Table Grid"/>
    <w:basedOn w:val="Tabelanormal"/>
    <w:rsid w:val="003F71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cter"/>
    <w:qFormat/>
    <w:rsid w:val="003F719E"/>
    <w:pPr>
      <w:jc w:val="center"/>
    </w:pPr>
    <w:rPr>
      <w:sz w:val="48"/>
    </w:rPr>
  </w:style>
  <w:style w:type="character" w:customStyle="1" w:styleId="TtuloCarcter">
    <w:name w:val="Título Carácter"/>
    <w:basedOn w:val="Tipodeletrapredefinidodopargrafo"/>
    <w:link w:val="Ttulo"/>
    <w:locked/>
    <w:rsid w:val="0032067D"/>
    <w:rPr>
      <w:rFonts w:ascii="Cambria" w:hAnsi="Cambria" w:cs="Times New Roman"/>
      <w:b/>
      <w:bCs/>
      <w:kern w:val="28"/>
      <w:sz w:val="32"/>
      <w:szCs w:val="32"/>
    </w:rPr>
  </w:style>
  <w:style w:type="paragraph" w:styleId="Corpodetexto">
    <w:name w:val="Body Text"/>
    <w:basedOn w:val="Normal"/>
    <w:link w:val="CorpodetextoCarcter"/>
    <w:rsid w:val="003F719E"/>
    <w:pPr>
      <w:spacing w:after="120"/>
    </w:pPr>
  </w:style>
  <w:style w:type="character" w:customStyle="1" w:styleId="CorpodetextoCarcter">
    <w:name w:val="Corpo de texto Carácter"/>
    <w:basedOn w:val="Tipodeletrapredefinidodopargrafo"/>
    <w:link w:val="Corpodetexto"/>
    <w:semiHidden/>
    <w:locked/>
    <w:rsid w:val="0032067D"/>
    <w:rPr>
      <w:rFonts w:cs="Times New Roman"/>
      <w:sz w:val="24"/>
      <w:szCs w:val="24"/>
    </w:rPr>
  </w:style>
  <w:style w:type="paragraph" w:styleId="Corpodetexto2">
    <w:name w:val="Body Text 2"/>
    <w:basedOn w:val="Normal"/>
    <w:link w:val="Corpodetexto2Carcter"/>
    <w:rsid w:val="003F719E"/>
    <w:pPr>
      <w:spacing w:after="120" w:line="480" w:lineRule="auto"/>
    </w:pPr>
  </w:style>
  <w:style w:type="character" w:customStyle="1" w:styleId="Corpodetexto2Carcter">
    <w:name w:val="Corpo de texto 2 Carácter"/>
    <w:basedOn w:val="Tipodeletrapredefinidodopargrafo"/>
    <w:link w:val="Corpodetexto2"/>
    <w:semiHidden/>
    <w:locked/>
    <w:rsid w:val="0032067D"/>
    <w:rPr>
      <w:rFonts w:cs="Times New Roman"/>
      <w:sz w:val="24"/>
      <w:szCs w:val="24"/>
    </w:rPr>
  </w:style>
  <w:style w:type="paragraph" w:styleId="Avanodecorpodetexto2">
    <w:name w:val="Body Text Indent 2"/>
    <w:basedOn w:val="Normal"/>
    <w:link w:val="Avanodecorpodetexto2Carcter"/>
    <w:rsid w:val="003F719E"/>
    <w:pPr>
      <w:spacing w:after="120" w:line="480" w:lineRule="auto"/>
      <w:ind w:left="283"/>
    </w:pPr>
  </w:style>
  <w:style w:type="character" w:customStyle="1" w:styleId="Avanodecorpodetexto2Carcter">
    <w:name w:val="Avanço de corpo de texto 2 Carácter"/>
    <w:basedOn w:val="Tipodeletrapredefinidodopargrafo"/>
    <w:link w:val="Avanodecorpodetexto2"/>
    <w:semiHidden/>
    <w:locked/>
    <w:rsid w:val="0032067D"/>
    <w:rPr>
      <w:rFonts w:cs="Times New Roman"/>
      <w:sz w:val="24"/>
      <w:szCs w:val="24"/>
    </w:rPr>
  </w:style>
  <w:style w:type="paragraph" w:styleId="NormalWeb">
    <w:name w:val="Normal (Web)"/>
    <w:basedOn w:val="Normal"/>
    <w:rsid w:val="003F719E"/>
    <w:pPr>
      <w:spacing w:beforeLines="1" w:afterLines="1"/>
    </w:pPr>
    <w:rPr>
      <w:rFonts w:ascii="Times" w:hAnsi="Times"/>
      <w:lang w:eastAsia="en-US"/>
    </w:rPr>
  </w:style>
  <w:style w:type="character" w:styleId="Nmerodepgina">
    <w:name w:val="page number"/>
    <w:basedOn w:val="Tipodeletrapredefinidodopargrafo"/>
    <w:rsid w:val="003F719E"/>
    <w:rPr>
      <w:rFonts w:cs="Times New Roman"/>
    </w:rPr>
  </w:style>
  <w:style w:type="paragraph" w:customStyle="1" w:styleId="s02alineaalta">
    <w:name w:val="s02alineaalta"/>
    <w:basedOn w:val="Normal"/>
    <w:rsid w:val="003F719E"/>
    <w:pPr>
      <w:spacing w:before="100" w:beforeAutospacing="1" w:after="100" w:afterAutospacing="1"/>
    </w:pPr>
  </w:style>
  <w:style w:type="paragraph" w:styleId="Textodenotaderodap">
    <w:name w:val="footnote text"/>
    <w:basedOn w:val="Normal"/>
    <w:link w:val="TextodenotaderodapCarcter"/>
    <w:rsid w:val="003F719E"/>
  </w:style>
  <w:style w:type="character" w:customStyle="1" w:styleId="TextodenotaderodapCarcter">
    <w:name w:val="Texto de nota de rodapé Carácter"/>
    <w:basedOn w:val="Tipodeletrapredefinidodopargrafo"/>
    <w:link w:val="Textodenotaderodap"/>
    <w:locked/>
    <w:rsid w:val="003F719E"/>
    <w:rPr>
      <w:rFonts w:cs="Times New Roman"/>
      <w:sz w:val="24"/>
      <w:szCs w:val="24"/>
      <w:lang w:eastAsia="pt-PT"/>
    </w:rPr>
  </w:style>
  <w:style w:type="character" w:styleId="Refdenotaderodap">
    <w:name w:val="footnote reference"/>
    <w:basedOn w:val="Tipodeletrapredefinidodopargrafo"/>
    <w:rsid w:val="003F719E"/>
    <w:rPr>
      <w:rFonts w:cs="Times New Roman"/>
      <w:vertAlign w:val="superscript"/>
    </w:rPr>
  </w:style>
  <w:style w:type="paragraph" w:styleId="Lista">
    <w:name w:val="List"/>
    <w:basedOn w:val="Normal"/>
    <w:rsid w:val="002A6ADF"/>
    <w:pPr>
      <w:ind w:left="283" w:hanging="283"/>
      <w:contextualSpacing/>
    </w:pPr>
  </w:style>
  <w:style w:type="paragraph" w:styleId="Lista2">
    <w:name w:val="List 2"/>
    <w:basedOn w:val="Normal"/>
    <w:rsid w:val="002A6ADF"/>
    <w:pPr>
      <w:ind w:left="566" w:hanging="283"/>
      <w:contextualSpacing/>
    </w:pPr>
  </w:style>
  <w:style w:type="paragraph" w:styleId="Lista3">
    <w:name w:val="List 3"/>
    <w:basedOn w:val="Normal"/>
    <w:rsid w:val="002A6ADF"/>
    <w:pPr>
      <w:ind w:left="849" w:hanging="283"/>
      <w:contextualSpacing/>
    </w:pPr>
  </w:style>
  <w:style w:type="paragraph" w:styleId="Lista4">
    <w:name w:val="List 4"/>
    <w:basedOn w:val="Normal"/>
    <w:rsid w:val="002A6ADF"/>
    <w:pPr>
      <w:ind w:left="1132" w:hanging="283"/>
      <w:contextualSpacing/>
    </w:pPr>
  </w:style>
  <w:style w:type="paragraph" w:styleId="Lista5">
    <w:name w:val="List 5"/>
    <w:basedOn w:val="Normal"/>
    <w:rsid w:val="002A6ADF"/>
    <w:pPr>
      <w:ind w:left="1415" w:hanging="283"/>
      <w:contextualSpacing/>
    </w:pPr>
  </w:style>
  <w:style w:type="paragraph" w:styleId="Cabealhodamensagem">
    <w:name w:val="Message Header"/>
    <w:basedOn w:val="Normal"/>
    <w:link w:val="CabealhodamensagemCarcter"/>
    <w:rsid w:val="002A6ADF"/>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w:hAnsi="Calibri"/>
    </w:rPr>
  </w:style>
  <w:style w:type="character" w:customStyle="1" w:styleId="CabealhodamensagemCarcter">
    <w:name w:val="Cabeçalho da mensagem Carácter"/>
    <w:basedOn w:val="Tipodeletrapredefinidodopargrafo"/>
    <w:link w:val="Cabealhodamensagem"/>
    <w:locked/>
    <w:rsid w:val="002A6ADF"/>
    <w:rPr>
      <w:rFonts w:ascii="Calibri" w:hAnsi="Calibri" w:cs="Times New Roman"/>
      <w:sz w:val="24"/>
      <w:szCs w:val="24"/>
      <w:shd w:val="pct20" w:color="auto" w:fill="auto"/>
      <w:lang w:eastAsia="pt-PT"/>
    </w:rPr>
  </w:style>
  <w:style w:type="paragraph" w:styleId="Inciodecarta">
    <w:name w:val="Salutation"/>
    <w:basedOn w:val="Normal"/>
    <w:next w:val="Normal"/>
    <w:link w:val="InciodecartaCarcter"/>
    <w:rsid w:val="002A6ADF"/>
  </w:style>
  <w:style w:type="character" w:customStyle="1" w:styleId="InciodecartaCarcter">
    <w:name w:val="Início de carta Carácter"/>
    <w:basedOn w:val="Tipodeletrapredefinidodopargrafo"/>
    <w:link w:val="Inciodecarta"/>
    <w:locked/>
    <w:rsid w:val="002A6ADF"/>
    <w:rPr>
      <w:rFonts w:cs="Times New Roman"/>
      <w:lang w:eastAsia="pt-PT"/>
    </w:rPr>
  </w:style>
  <w:style w:type="paragraph" w:styleId="Listacommarcas2">
    <w:name w:val="List Bullet 2"/>
    <w:basedOn w:val="Normal"/>
    <w:rsid w:val="002A6ADF"/>
    <w:pPr>
      <w:numPr>
        <w:numId w:val="18"/>
      </w:numPr>
      <w:tabs>
        <w:tab w:val="num" w:pos="643"/>
      </w:tabs>
      <w:ind w:left="643"/>
      <w:contextualSpacing/>
    </w:pPr>
  </w:style>
  <w:style w:type="paragraph" w:styleId="Listadecont2">
    <w:name w:val="List Continue 2"/>
    <w:basedOn w:val="Normal"/>
    <w:rsid w:val="002A6ADF"/>
    <w:pPr>
      <w:spacing w:after="120"/>
      <w:ind w:left="566"/>
      <w:contextualSpacing/>
    </w:pPr>
  </w:style>
  <w:style w:type="paragraph" w:styleId="Listadecont3">
    <w:name w:val="List Continue 3"/>
    <w:basedOn w:val="Normal"/>
    <w:rsid w:val="002A6ADF"/>
    <w:pPr>
      <w:spacing w:after="120"/>
      <w:ind w:left="849"/>
      <w:contextualSpacing/>
    </w:pPr>
  </w:style>
  <w:style w:type="paragraph" w:styleId="Listadecont4">
    <w:name w:val="List Continue 4"/>
    <w:basedOn w:val="Normal"/>
    <w:rsid w:val="002A6ADF"/>
    <w:pPr>
      <w:spacing w:after="120"/>
      <w:ind w:left="1132"/>
      <w:contextualSpacing/>
    </w:pPr>
  </w:style>
  <w:style w:type="paragraph" w:styleId="Listadecont5">
    <w:name w:val="List Continue 5"/>
    <w:basedOn w:val="Normal"/>
    <w:rsid w:val="002A6ADF"/>
    <w:pPr>
      <w:spacing w:after="120"/>
      <w:ind w:left="1415"/>
      <w:contextualSpacing/>
    </w:pPr>
  </w:style>
  <w:style w:type="paragraph" w:customStyle="1" w:styleId="ShortReturnAddress">
    <w:name w:val="Short Return Address"/>
    <w:basedOn w:val="Normal"/>
    <w:rsid w:val="002A6ADF"/>
  </w:style>
  <w:style w:type="paragraph" w:customStyle="1" w:styleId="ListParagraph">
    <w:name w:val="List Paragraph"/>
    <w:basedOn w:val="Normal"/>
    <w:rsid w:val="00E8016E"/>
    <w:pPr>
      <w:ind w:left="720"/>
      <w:contextualSpacing/>
    </w:pPr>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15"/>
      <w:marRight w:val="0"/>
      <w:marTop w:val="15"/>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225"/>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p.lisboa.tr@tribunais.org.p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ulasilva\Application%20Data\Microsoft\Modelos\Modelo%20Of%20PGD.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Of PGD.dot</Template>
  <TotalTime>2</TotalTime>
  <Pages>29</Pages>
  <Words>11262</Words>
  <Characters>60820</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Aos </vt:lpstr>
    </vt:vector>
  </TitlesOfParts>
  <Company>ITIJ</Company>
  <LinksUpToDate>false</LinksUpToDate>
  <CharactersWithSpaces>71939</CharactersWithSpaces>
  <SharedDoc>false</SharedDoc>
  <HLinks>
    <vt:vector size="6" baseType="variant">
      <vt:variant>
        <vt:i4>7208980</vt:i4>
      </vt:variant>
      <vt:variant>
        <vt:i4>5</vt:i4>
      </vt:variant>
      <vt:variant>
        <vt:i4>0</vt:i4>
      </vt:variant>
      <vt:variant>
        <vt:i4>5</vt:i4>
      </vt:variant>
      <vt:variant>
        <vt:lpwstr>mailto:mp.lisboa.tr@tribunais.org.pt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Aos </dc:title>
  <dc:subject/>
  <dc:creator>paulasilva</dc:creator>
  <cp:keywords/>
  <dc:description/>
  <cp:lastModifiedBy>.</cp:lastModifiedBy>
  <cp:revision>2</cp:revision>
  <cp:lastPrinted>2013-02-22T16:14:00Z</cp:lastPrinted>
  <dcterms:created xsi:type="dcterms:W3CDTF">2014-01-14T16:15:00Z</dcterms:created>
  <dcterms:modified xsi:type="dcterms:W3CDTF">2014-01-14T16:15:00Z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1327942737</vt:i4>
  </property>
  <property fmtid="{D5CDD505-2E9C-101B-9397-08002B2CF9AE}" pid="3" name="_EmailSubject">
    <vt:lpwstr>doc</vt:lpwstr>
  </property>
  <property fmtid="{D5CDD505-2E9C-101B-9397-08002B2CF9AE}" pid="4" name="_AuthorEmail">
    <vt:lpwstr>PGDL9@pgdl.mj.pt</vt:lpwstr>
  </property>
  <property fmtid="{D5CDD505-2E9C-101B-9397-08002B2CF9AE}" pid="5" name="_AuthorEmailDisplayName">
    <vt:lpwstr>PGD9</vt:lpwstr>
  </property>
  <property fmtid="{D5CDD505-2E9C-101B-9397-08002B2CF9AE}" pid="6" name="_PreviousAdHocReviewCycleID">
    <vt:i4>-2006865764</vt:i4>
  </property>
  <property fmtid="{D5CDD505-2E9C-101B-9397-08002B2CF9AE}" pid="7" name="_ReviewingToolsShownOnce">
    <vt:lpwstr/>
  </property>
</Properties>
</file>